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A9" w:rsidRPr="006B4AA9" w:rsidRDefault="006B4AA9" w:rsidP="006B4AA9">
      <w:pPr>
        <w:rPr>
          <w:b/>
        </w:rPr>
      </w:pPr>
      <w:r w:rsidRPr="00EA3FE8">
        <w:rPr>
          <w:b/>
          <w:noProof/>
          <w:sz w:val="24"/>
          <w:lang w:eastAsia="en-GB"/>
        </w:rPr>
        <w:drawing>
          <wp:anchor distT="0" distB="0" distL="114300" distR="114300" simplePos="0" relativeHeight="251663360" behindDoc="0" locked="0" layoutInCell="1" allowOverlap="1" wp14:anchorId="10E61AB8" wp14:editId="18CD1FCA">
            <wp:simplePos x="0" y="0"/>
            <wp:positionH relativeFrom="margin">
              <wp:posOffset>2219325</wp:posOffset>
            </wp:positionH>
            <wp:positionV relativeFrom="paragraph">
              <wp:posOffset>0</wp:posOffset>
            </wp:positionV>
            <wp:extent cx="1181100" cy="17240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724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4AA9" w:rsidRDefault="00531E10" w:rsidP="006B4AA9">
      <w:r>
        <w:rPr>
          <w:noProof/>
          <w:lang w:eastAsia="en-GB"/>
        </w:rPr>
        <mc:AlternateContent>
          <mc:Choice Requires="wps">
            <w:drawing>
              <wp:anchor distT="0" distB="0" distL="114300" distR="114300" simplePos="0" relativeHeight="251661312" behindDoc="0" locked="0" layoutInCell="1" allowOverlap="1" wp14:anchorId="0264CC26" wp14:editId="65FB99B9">
                <wp:simplePos x="0" y="0"/>
                <wp:positionH relativeFrom="margin">
                  <wp:align>center</wp:align>
                </wp:positionH>
                <wp:positionV relativeFrom="paragraph">
                  <wp:posOffset>1460500</wp:posOffset>
                </wp:positionV>
                <wp:extent cx="5057775" cy="1085850"/>
                <wp:effectExtent l="0" t="0" r="952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085850"/>
                        </a:xfrm>
                        <a:prstGeom prst="rect">
                          <a:avLst/>
                        </a:prstGeom>
                        <a:solidFill>
                          <a:srgbClr val="FFFFFF"/>
                        </a:solidFill>
                        <a:ln w="9525">
                          <a:noFill/>
                          <a:miter lim="800000"/>
                          <a:headEnd/>
                          <a:tailEnd/>
                        </a:ln>
                      </wps:spPr>
                      <wps:txbx>
                        <w:txbxContent>
                          <w:p w:rsidR="006B4AA9" w:rsidRPr="006B4AA9" w:rsidRDefault="006B4AA9" w:rsidP="006B4AA9">
                            <w:pPr>
                              <w:jc w:val="center"/>
                              <w:rPr>
                                <w:b/>
                                <w:sz w:val="36"/>
                              </w:rPr>
                            </w:pPr>
                            <w:r w:rsidRPr="006B4AA9">
                              <w:rPr>
                                <w:b/>
                                <w:sz w:val="36"/>
                              </w:rPr>
                              <w:t xml:space="preserve">Consultation on the </w:t>
                            </w:r>
                            <w:r>
                              <w:rPr>
                                <w:b/>
                                <w:sz w:val="36"/>
                              </w:rPr>
                              <w:t>I</w:t>
                            </w:r>
                            <w:r w:rsidRPr="006B4AA9">
                              <w:rPr>
                                <w:b/>
                                <w:sz w:val="36"/>
                              </w:rPr>
                              <w:t xml:space="preserve">ntroduction of </w:t>
                            </w:r>
                            <w:r w:rsidR="00531E10">
                              <w:rPr>
                                <w:b/>
                                <w:sz w:val="36"/>
                              </w:rPr>
                              <w:t>Water Quality Objective</w:t>
                            </w:r>
                            <w:r w:rsidR="00C34973">
                              <w:rPr>
                                <w:b/>
                                <w:sz w:val="36"/>
                              </w:rPr>
                              <w:t>s</w:t>
                            </w:r>
                            <w:r w:rsidR="00531E10">
                              <w:rPr>
                                <w:b/>
                                <w:sz w:val="36"/>
                              </w:rPr>
                              <w:t xml:space="preserve"> and </w:t>
                            </w:r>
                            <w:r w:rsidRPr="006B4AA9">
                              <w:rPr>
                                <w:b/>
                                <w:sz w:val="36"/>
                              </w:rPr>
                              <w:t>Environmental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4CC26" id="_x0000_t202" coordsize="21600,21600" o:spt="202" path="m,l,21600r21600,l21600,xe">
                <v:stroke joinstyle="miter"/>
                <v:path gradientshapeok="t" o:connecttype="rect"/>
              </v:shapetype>
              <v:shape id="Text Box 2" o:spid="_x0000_s1026" type="#_x0000_t202" style="position:absolute;margin-left:0;margin-top:115pt;width:398.25pt;height:8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" stroked="f">
                <v:textbox>
                  <w:txbxContent>
                    <w:p w:rsidR="006B4AA9" w:rsidRPr="006B4AA9" w:rsidRDefault="006B4AA9" w:rsidP="006B4AA9">
                      <w:pPr>
                        <w:jc w:val="center"/>
                        <w:rPr>
                          <w:b/>
                          <w:sz w:val="36"/>
                        </w:rPr>
                      </w:pPr>
                      <w:r w:rsidRPr="006B4AA9">
                        <w:rPr>
                          <w:b/>
                          <w:sz w:val="36"/>
                        </w:rPr>
                        <w:t xml:space="preserve">Consultation on the </w:t>
                      </w:r>
                      <w:r>
                        <w:rPr>
                          <w:b/>
                          <w:sz w:val="36"/>
                        </w:rPr>
                        <w:t>I</w:t>
                      </w:r>
                      <w:r w:rsidRPr="006B4AA9">
                        <w:rPr>
                          <w:b/>
                          <w:sz w:val="36"/>
                        </w:rPr>
                        <w:t xml:space="preserve">ntroduction of </w:t>
                      </w:r>
                      <w:r w:rsidR="00531E10">
                        <w:rPr>
                          <w:b/>
                          <w:sz w:val="36"/>
                        </w:rPr>
                        <w:t>Water Quality Objective</w:t>
                      </w:r>
                      <w:r w:rsidR="00C34973">
                        <w:rPr>
                          <w:b/>
                          <w:sz w:val="36"/>
                        </w:rPr>
                        <w:t>s</w:t>
                      </w:r>
                      <w:r w:rsidR="00531E10">
                        <w:rPr>
                          <w:b/>
                          <w:sz w:val="36"/>
                        </w:rPr>
                        <w:t xml:space="preserve"> and </w:t>
                      </w:r>
                      <w:r w:rsidRPr="006B4AA9">
                        <w:rPr>
                          <w:b/>
                          <w:sz w:val="36"/>
                        </w:rPr>
                        <w:t>Environmental Quality Standards</w:t>
                      </w:r>
                    </w:p>
                  </w:txbxContent>
                </v:textbox>
                <w10:wrap type="topAndBottom" anchorx="margin"/>
              </v:shape>
            </w:pict>
          </mc:Fallback>
        </mc:AlternateContent>
      </w:r>
      <w:r>
        <w:rPr>
          <w:noProof/>
          <w:lang w:eastAsia="en-GB"/>
        </w:rPr>
        <w:drawing>
          <wp:anchor distT="0" distB="0" distL="114300" distR="114300" simplePos="0" relativeHeight="251664384" behindDoc="0" locked="0" layoutInCell="1" allowOverlap="1" wp14:anchorId="2D6D22D9" wp14:editId="5CA4D4EB">
            <wp:simplePos x="0" y="0"/>
            <wp:positionH relativeFrom="column">
              <wp:posOffset>333375</wp:posOffset>
            </wp:positionH>
            <wp:positionV relativeFrom="paragraph">
              <wp:posOffset>2508250</wp:posOffset>
            </wp:positionV>
            <wp:extent cx="5053330" cy="2800350"/>
            <wp:effectExtent l="0" t="0" r="0" b="0"/>
            <wp:wrapSquare wrapText="bothSides"/>
            <wp:docPr id="1" name="Picture 1" descr="\\reiltys\root\DEFA_Home\DEFADCOO\My Documents\Photos of Role\20190412_135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ltys\root\DEFA_Home\DEFADCOO\My Documents\Photos of Role\20190412_13535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730" b="9626"/>
                    <a:stretch/>
                  </pic:blipFill>
                  <pic:spPr bwMode="auto">
                    <a:xfrm>
                      <a:off x="0" y="0"/>
                      <a:ext cx="5053330" cy="280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4AA9">
        <w:rPr>
          <w:noProof/>
          <w:lang w:eastAsia="en-GB"/>
        </w:rPr>
        <mc:AlternateContent>
          <mc:Choice Requires="wps">
            <w:drawing>
              <wp:anchor distT="0" distB="0" distL="114300" distR="114300" simplePos="0" relativeHeight="251662336" behindDoc="0" locked="0" layoutInCell="1" allowOverlap="1" wp14:anchorId="4D829CA5" wp14:editId="26C03D89">
                <wp:simplePos x="0" y="0"/>
                <wp:positionH relativeFrom="margin">
                  <wp:align>center</wp:align>
                </wp:positionH>
                <wp:positionV relativeFrom="paragraph">
                  <wp:posOffset>5304790</wp:posOffset>
                </wp:positionV>
                <wp:extent cx="5057775" cy="2095500"/>
                <wp:effectExtent l="0" t="0" r="9525" b="0"/>
                <wp:wrapNone/>
                <wp:docPr id="8" name="Rectangle 8"/>
                <wp:cNvGraphicFramePr/>
                <a:graphic xmlns:a="http://schemas.openxmlformats.org/drawingml/2006/main">
                  <a:graphicData uri="http://schemas.microsoft.com/office/word/2010/wordprocessingShape">
                    <wps:wsp>
                      <wps:cNvSpPr/>
                      <wps:spPr>
                        <a:xfrm>
                          <a:off x="0" y="0"/>
                          <a:ext cx="5057775" cy="2095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AA9" w:rsidRPr="00323A42" w:rsidRDefault="006B4AA9" w:rsidP="006B4AA9">
                            <w:pPr>
                              <w:jc w:val="center"/>
                              <w:rPr>
                                <w:b/>
                                <w:sz w:val="28"/>
                              </w:rPr>
                            </w:pPr>
                            <w:r w:rsidRPr="00323A42">
                              <w:rPr>
                                <w:b/>
                                <w:sz w:val="28"/>
                              </w:rPr>
                              <w:t>Department of Environment, Food and Agriculture</w:t>
                            </w:r>
                          </w:p>
                          <w:p w:rsidR="006B4AA9" w:rsidRDefault="006B4AA9" w:rsidP="006B4AA9">
                            <w:pPr>
                              <w:jc w:val="center"/>
                              <w:rPr>
                                <w:i/>
                                <w:sz w:val="28"/>
                              </w:rPr>
                            </w:pPr>
                            <w:r w:rsidRPr="00323A42">
                              <w:rPr>
                                <w:i/>
                                <w:sz w:val="28"/>
                              </w:rPr>
                              <w:t>Rheynn Chymmltaght, Bee as Eirinys</w:t>
                            </w:r>
                          </w:p>
                          <w:p w:rsidR="006B4AA9" w:rsidRDefault="006B4AA9" w:rsidP="006B4AA9">
                            <w:pPr>
                              <w:jc w:val="center"/>
                              <w:rPr>
                                <w:sz w:val="28"/>
                              </w:rPr>
                            </w:pPr>
                          </w:p>
                          <w:p w:rsidR="006B4AA9" w:rsidRPr="00323A42" w:rsidRDefault="006B4AA9" w:rsidP="006B4AA9">
                            <w:pPr>
                              <w:jc w:val="center"/>
                              <w:rPr>
                                <w:b/>
                                <w:sz w:val="28"/>
                              </w:rPr>
                            </w:pPr>
                            <w:r>
                              <w:rPr>
                                <w:b/>
                                <w:sz w:val="28"/>
                              </w:rPr>
                              <w:t>Consultation Paper</w:t>
                            </w:r>
                          </w:p>
                          <w:p w:rsidR="006B4AA9" w:rsidRPr="00323A42" w:rsidRDefault="003208B2" w:rsidP="006B4AA9">
                            <w:pPr>
                              <w:jc w:val="center"/>
                              <w:rPr>
                                <w:b/>
                                <w:sz w:val="28"/>
                              </w:rPr>
                            </w:pPr>
                            <w:r>
                              <w:rPr>
                                <w:b/>
                                <w:sz w:val="28"/>
                              </w:rPr>
                              <w:t>July</w:t>
                            </w:r>
                            <w:r w:rsidR="006B4AA9">
                              <w:rPr>
                                <w:b/>
                                <w:sz w:val="28"/>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29CA5" id="Rectangle 8" o:spid="_x0000_s1027" style="position:absolute;margin-left:0;margin-top:417.7pt;width:398.25pt;height:16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" fillcolor="#bfbfbf [2412]" stroked="f" strokeweight="2pt">
                <v:textbox>
                  <w:txbxContent>
                    <w:p w:rsidR="006B4AA9" w:rsidRPr="00323A42" w:rsidRDefault="006B4AA9" w:rsidP="006B4AA9">
                      <w:pPr>
                        <w:jc w:val="center"/>
                        <w:rPr>
                          <w:b/>
                          <w:sz w:val="28"/>
                        </w:rPr>
                      </w:pPr>
                      <w:r w:rsidRPr="00323A42">
                        <w:rPr>
                          <w:b/>
                          <w:sz w:val="28"/>
                        </w:rPr>
                        <w:t>Department of Environment, Food and Agriculture</w:t>
                      </w:r>
                    </w:p>
                    <w:p w:rsidR="006B4AA9" w:rsidRDefault="006B4AA9" w:rsidP="006B4AA9">
                      <w:pPr>
                        <w:jc w:val="center"/>
                        <w:rPr>
                          <w:i/>
                          <w:sz w:val="28"/>
                        </w:rPr>
                      </w:pPr>
                      <w:r w:rsidRPr="00323A42">
                        <w:rPr>
                          <w:i/>
                          <w:sz w:val="28"/>
                        </w:rPr>
                        <w:t>Rheynn Chymmltaght, Bee as Eirinys</w:t>
                      </w:r>
                    </w:p>
                    <w:p w:rsidR="006B4AA9" w:rsidRDefault="006B4AA9" w:rsidP="006B4AA9">
                      <w:pPr>
                        <w:jc w:val="center"/>
                        <w:rPr>
                          <w:sz w:val="28"/>
                        </w:rPr>
                      </w:pPr>
                    </w:p>
                    <w:p w:rsidR="006B4AA9" w:rsidRPr="00323A42" w:rsidRDefault="006B4AA9" w:rsidP="006B4AA9">
                      <w:pPr>
                        <w:jc w:val="center"/>
                        <w:rPr>
                          <w:b/>
                          <w:sz w:val="28"/>
                        </w:rPr>
                      </w:pPr>
                      <w:r>
                        <w:rPr>
                          <w:b/>
                          <w:sz w:val="28"/>
                        </w:rPr>
                        <w:t>Consultation Paper</w:t>
                      </w:r>
                    </w:p>
                    <w:p w:rsidR="006B4AA9" w:rsidRPr="00323A42" w:rsidRDefault="003208B2" w:rsidP="006B4AA9">
                      <w:pPr>
                        <w:jc w:val="center"/>
                        <w:rPr>
                          <w:b/>
                          <w:sz w:val="28"/>
                        </w:rPr>
                      </w:pPr>
                      <w:r>
                        <w:rPr>
                          <w:b/>
                          <w:sz w:val="28"/>
                        </w:rPr>
                        <w:t>July</w:t>
                      </w:r>
                      <w:r w:rsidR="006B4AA9">
                        <w:rPr>
                          <w:b/>
                          <w:sz w:val="28"/>
                        </w:rPr>
                        <w:t xml:space="preserve"> 2020</w:t>
                      </w:r>
                    </w:p>
                  </w:txbxContent>
                </v:textbox>
                <w10:wrap anchorx="margin"/>
              </v:rect>
            </w:pict>
          </mc:Fallback>
        </mc:AlternateContent>
      </w:r>
      <w:r w:rsidR="006B4AA9">
        <w:br w:type="page"/>
      </w:r>
    </w:p>
    <w:p w:rsidR="006B4AA9" w:rsidRDefault="006B4AA9">
      <w:pPr>
        <w:rPr>
          <w:b/>
          <w:sz w:val="28"/>
        </w:rPr>
      </w:pPr>
      <w:r w:rsidRPr="006B4AA9">
        <w:rPr>
          <w:b/>
          <w:sz w:val="28"/>
        </w:rPr>
        <w:lastRenderedPageBreak/>
        <w:t xml:space="preserve">Part 1 </w:t>
      </w:r>
      <w:r w:rsidR="000B46F3">
        <w:rPr>
          <w:b/>
          <w:sz w:val="28"/>
        </w:rPr>
        <w:t xml:space="preserve">- </w:t>
      </w:r>
      <w:r w:rsidRPr="006B4AA9">
        <w:rPr>
          <w:b/>
          <w:sz w:val="28"/>
        </w:rPr>
        <w:t>Introduction</w:t>
      </w:r>
    </w:p>
    <w:p w:rsidR="006B4AA9" w:rsidRDefault="006B4AA9" w:rsidP="006B4AA9">
      <w:pPr>
        <w:pStyle w:val="ListParagraph"/>
        <w:numPr>
          <w:ilvl w:val="0"/>
          <w:numId w:val="3"/>
        </w:numPr>
        <w:rPr>
          <w:b/>
        </w:rPr>
      </w:pPr>
      <w:r>
        <w:rPr>
          <w:b/>
        </w:rPr>
        <w:t>Background</w:t>
      </w:r>
    </w:p>
    <w:p w:rsidR="000C5EAB" w:rsidRDefault="000C5EAB" w:rsidP="000C5EAB">
      <w:pPr>
        <w:pStyle w:val="ListParagraph"/>
        <w:ind w:left="360"/>
        <w:rPr>
          <w:b/>
        </w:rPr>
      </w:pPr>
    </w:p>
    <w:p w:rsidR="006B4AA9" w:rsidRDefault="006B4AA9" w:rsidP="006B4AA9">
      <w:pPr>
        <w:pStyle w:val="ListParagraph"/>
        <w:numPr>
          <w:ilvl w:val="1"/>
          <w:numId w:val="3"/>
        </w:numPr>
        <w:rPr>
          <w:b/>
        </w:rPr>
      </w:pPr>
      <w:r>
        <w:rPr>
          <w:b/>
        </w:rPr>
        <w:t xml:space="preserve"> History </w:t>
      </w:r>
    </w:p>
    <w:p w:rsidR="000C5EAB" w:rsidRDefault="000C5EAB" w:rsidP="000C5EAB">
      <w:r>
        <w:t>In March 2018 the Environment and Infrastructure Policy Review Committee made a series of recommendations on future sewerage infrastructure options and how they might impact on bathing water quality in its report “First report 2017-18; Regional Sewage Treatment Strategy, Phase 2”.</w:t>
      </w:r>
    </w:p>
    <w:p w:rsidR="000C5EAB" w:rsidRDefault="000C5EAB" w:rsidP="000C5EAB">
      <w:r>
        <w:t>In October 2018 DEFA and Manx Utilities (MU) responded to the E&amp;I Policy Review Committee report through an “</w:t>
      </w:r>
      <w:r w:rsidRPr="000C5EAB">
        <w:rPr>
          <w:i/>
        </w:rPr>
        <w:t>Interim Scoping Report of what is needed to comply with the EU 2006 Bathing Water Directive</w:t>
      </w:r>
      <w:r>
        <w:t>”.  This report provided an outline of the work required to ensure the Isle of Man achieves compliance with the standards specified in the 2006 Bathing Water Directive.</w:t>
      </w:r>
    </w:p>
    <w:p w:rsidR="000C5EAB" w:rsidRDefault="000C5EAB" w:rsidP="000C5EAB">
      <w:r>
        <w:t>Within the report, the Strategy for Delivery section included a target of November 2019 to “secure Tynwald approval to adopt bathing water quality standards based on the public health parameters contained in the 2006 Bathing Water Quality Directive and on a strategy for delivering those standards”.  The UK consultant APEM was appointed by DEFA in August 2019 to develop this strategy with Phase 1 being approved by Tynwald in December 2019.</w:t>
      </w:r>
    </w:p>
    <w:p w:rsidR="000C5EAB" w:rsidRDefault="000C5EAB" w:rsidP="000C5EAB">
      <w:r>
        <w:t>The 2018 “</w:t>
      </w:r>
      <w:r w:rsidRPr="000C5EAB">
        <w:rPr>
          <w:i/>
        </w:rPr>
        <w:t>Interim Scoping Report of what is needed to comply with the EU 2006 Bathing Water Directive</w:t>
      </w:r>
      <w:r w:rsidRPr="0028272E">
        <w:t>”</w:t>
      </w:r>
      <w:r>
        <w:t xml:space="preserve"> included a further commitment (Phase 2):-</w:t>
      </w:r>
    </w:p>
    <w:p w:rsidR="009237D5" w:rsidRDefault="000C5EAB" w:rsidP="009237D5">
      <w:r>
        <w:t>“By December 2020 secure approval from Tynwald on Manx specific discharge standards and modifications to the licensing provisions in the existing Water Pollution Act which will enable proportionate compliance with the discharge standards.  The discharge standards should be based on results from on-going sampling, necessary modelling and a review of the standards adopted in other jurisdictions.  Maximum acceptable levels of contaminants from sources other than discharges (i.e. diffuse run off from farms) should be included in the standards”.</w:t>
      </w:r>
    </w:p>
    <w:p w:rsidR="00EF02D2" w:rsidRPr="000C5EAB" w:rsidRDefault="00EF02D2" w:rsidP="009237D5">
      <w:r>
        <w:t xml:space="preserve">APEM has provided </w:t>
      </w:r>
      <w:r w:rsidRPr="00EF02D2">
        <w:t xml:space="preserve">expert advice to the Department </w:t>
      </w:r>
      <w:r>
        <w:t xml:space="preserve">on </w:t>
      </w:r>
      <w:r w:rsidRPr="00EF02D2">
        <w:t xml:space="preserve">the introduction of Environmental Quality Standards </w:t>
      </w:r>
      <w:r>
        <w:t>for the Isle of Man and t</w:t>
      </w:r>
      <w:r w:rsidRPr="00EF02D2">
        <w:t xml:space="preserve">he full report can be viewed at; </w:t>
      </w:r>
      <w:hyperlink r:id="rId10" w:history="1">
        <w:r w:rsidRPr="00D03B88">
          <w:rPr>
            <w:rStyle w:val="Hyperlink"/>
          </w:rPr>
          <w:t>https://www.gov.im/media/1369698/proposed-eqs-apem-report.pdf</w:t>
        </w:r>
      </w:hyperlink>
      <w:r w:rsidRPr="00EF02D2">
        <w:t>.</w:t>
      </w:r>
      <w:r>
        <w:t xml:space="preserve"> </w:t>
      </w:r>
    </w:p>
    <w:p w:rsidR="006B4AA9" w:rsidRDefault="006B4AA9" w:rsidP="006B4AA9">
      <w:pPr>
        <w:pStyle w:val="ListParagraph"/>
        <w:numPr>
          <w:ilvl w:val="1"/>
          <w:numId w:val="3"/>
        </w:numPr>
        <w:rPr>
          <w:b/>
        </w:rPr>
      </w:pPr>
      <w:r>
        <w:rPr>
          <w:b/>
        </w:rPr>
        <w:t xml:space="preserve"> Legal Framework </w:t>
      </w:r>
    </w:p>
    <w:p w:rsidR="006B4AA9" w:rsidRDefault="005820C8" w:rsidP="001C1A64">
      <w:r w:rsidRPr="00A30256">
        <w:t>The Water Pollution Act 1993 requires the Department to protect controlled waters (i.e. river, watercourse, lake, pond, well, borehole or coastal waters) f</w:t>
      </w:r>
      <w:r w:rsidR="00C34973">
        <w:t xml:space="preserve">rom pollution. </w:t>
      </w:r>
      <w:r>
        <w:t>Section 2(</w:t>
      </w:r>
      <w:r w:rsidRPr="00A30256">
        <w:t>5) of the Water Pollution Act</w:t>
      </w:r>
      <w:r>
        <w:t xml:space="preserve"> 1993 requires that any scheme proposed for the classification of quality of controlled waters must have </w:t>
      </w:r>
      <w:r w:rsidRPr="00A30256">
        <w:t>Tynwa</w:t>
      </w:r>
      <w:r>
        <w:t>ld approval</w:t>
      </w:r>
      <w:r w:rsidRPr="00A30256">
        <w:t xml:space="preserve"> </w:t>
      </w:r>
      <w:r>
        <w:t xml:space="preserve">for it </w:t>
      </w:r>
      <w:r w:rsidRPr="00A30256">
        <w:t>to have effect.</w:t>
      </w:r>
    </w:p>
    <w:p w:rsidR="00EF02D2" w:rsidRDefault="00EF02D2" w:rsidP="001C1A64"/>
    <w:p w:rsidR="00EF02D2" w:rsidRPr="001C1A64" w:rsidRDefault="00EF02D2" w:rsidP="001C1A64"/>
    <w:p w:rsidR="006B4AA9" w:rsidRDefault="006B4AA9" w:rsidP="006B4AA9">
      <w:pPr>
        <w:pStyle w:val="ListParagraph"/>
        <w:numPr>
          <w:ilvl w:val="1"/>
          <w:numId w:val="3"/>
        </w:numPr>
        <w:rPr>
          <w:b/>
        </w:rPr>
      </w:pPr>
      <w:r>
        <w:rPr>
          <w:b/>
        </w:rPr>
        <w:lastRenderedPageBreak/>
        <w:t xml:space="preserve"> Benefits of introducing</w:t>
      </w:r>
      <w:r w:rsidR="00531E10">
        <w:rPr>
          <w:b/>
        </w:rPr>
        <w:t xml:space="preserve"> Water Quality Objectives and</w:t>
      </w:r>
      <w:r>
        <w:rPr>
          <w:b/>
        </w:rPr>
        <w:t xml:space="preserve"> Environmental Quality Standards</w:t>
      </w:r>
    </w:p>
    <w:p w:rsidR="00531E10" w:rsidRDefault="00F10B83" w:rsidP="006A610E">
      <w:pPr>
        <w:rPr>
          <w:bCs/>
        </w:rPr>
      </w:pPr>
      <w:r>
        <w:rPr>
          <w:bCs/>
        </w:rPr>
        <w:t xml:space="preserve">Introducing </w:t>
      </w:r>
      <w:r w:rsidR="00531E10">
        <w:rPr>
          <w:bCs/>
        </w:rPr>
        <w:t>Water Quality Objectives (WQO) and E</w:t>
      </w:r>
      <w:r>
        <w:rPr>
          <w:bCs/>
        </w:rPr>
        <w:t xml:space="preserve">nvironmental </w:t>
      </w:r>
      <w:r w:rsidR="00531E10">
        <w:rPr>
          <w:bCs/>
        </w:rPr>
        <w:t>Q</w:t>
      </w:r>
      <w:r>
        <w:rPr>
          <w:bCs/>
        </w:rPr>
        <w:t xml:space="preserve">uality </w:t>
      </w:r>
      <w:r w:rsidR="00531E10">
        <w:rPr>
          <w:bCs/>
        </w:rPr>
        <w:t>S</w:t>
      </w:r>
      <w:r>
        <w:rPr>
          <w:bCs/>
        </w:rPr>
        <w:t>tandards</w:t>
      </w:r>
      <w:r w:rsidR="00531E10">
        <w:rPr>
          <w:bCs/>
        </w:rPr>
        <w:t xml:space="preserve"> (EQS)</w:t>
      </w:r>
      <w:r>
        <w:rPr>
          <w:bCs/>
        </w:rPr>
        <w:t xml:space="preserve"> into the Water Pollution Act is important because it will allow the Department to enforce the legislation as intended to protect the environment. </w:t>
      </w:r>
      <w:r w:rsidR="000113FC">
        <w:rPr>
          <w:bCs/>
        </w:rPr>
        <w:t>T</w:t>
      </w:r>
      <w:r>
        <w:rPr>
          <w:bCs/>
        </w:rPr>
        <w:t xml:space="preserve">he environmental quality standards have been derived from </w:t>
      </w:r>
      <w:r w:rsidR="000113FC">
        <w:rPr>
          <w:bCs/>
        </w:rPr>
        <w:t>the EU Water Framework Directive</w:t>
      </w:r>
      <w:r w:rsidR="00A8091E">
        <w:rPr>
          <w:bCs/>
        </w:rPr>
        <w:t>,</w:t>
      </w:r>
      <w:r>
        <w:rPr>
          <w:bCs/>
        </w:rPr>
        <w:t xml:space="preserve"> so the</w:t>
      </w:r>
      <w:r w:rsidR="000113FC">
        <w:rPr>
          <w:bCs/>
        </w:rPr>
        <w:t xml:space="preserve"> parameters</w:t>
      </w:r>
      <w:r w:rsidR="00AD7768">
        <w:rPr>
          <w:bCs/>
        </w:rPr>
        <w:t xml:space="preserve"> and limits are up to date.</w:t>
      </w:r>
    </w:p>
    <w:p w:rsidR="00236D7C" w:rsidRDefault="00531E10" w:rsidP="00531E10">
      <w:pPr>
        <w:rPr>
          <w:bCs/>
        </w:rPr>
      </w:pPr>
      <w:r>
        <w:rPr>
          <w:bCs/>
        </w:rPr>
        <w:t xml:space="preserve">A </w:t>
      </w:r>
      <w:r w:rsidR="00236D7C">
        <w:rPr>
          <w:bCs/>
        </w:rPr>
        <w:t xml:space="preserve">Water Quality Objective (WQO) </w:t>
      </w:r>
      <w:r>
        <w:rPr>
          <w:bCs/>
        </w:rPr>
        <w:t xml:space="preserve">means the status set by Government for an area of controlled water to be met by a certain date.  </w:t>
      </w:r>
    </w:p>
    <w:p w:rsidR="00531E10" w:rsidRDefault="00531E10" w:rsidP="00531E10">
      <w:pPr>
        <w:rPr>
          <w:bCs/>
        </w:rPr>
      </w:pPr>
      <w:r>
        <w:rPr>
          <w:bCs/>
        </w:rPr>
        <w:t xml:space="preserve">An </w:t>
      </w:r>
      <w:r w:rsidR="00236D7C">
        <w:rPr>
          <w:bCs/>
        </w:rPr>
        <w:t>Environmental Quality Standards (</w:t>
      </w:r>
      <w:r>
        <w:rPr>
          <w:bCs/>
        </w:rPr>
        <w:t>EQS</w:t>
      </w:r>
      <w:r w:rsidR="00236D7C">
        <w:rPr>
          <w:bCs/>
        </w:rPr>
        <w:t>)</w:t>
      </w:r>
      <w:r>
        <w:rPr>
          <w:bCs/>
        </w:rPr>
        <w:t xml:space="preserve"> is defined as the range of concentrations, or just a concentration, of a particular substance in water which should not be exceeded to meet the WQO.  For example the WQO recommended for Bathing Waters is Good Status in accordance with the EU 2006 Bathing Water Directive which requires corresponding EQS of Intestinal Enterococci &lt; 200 CFU/100ml and Esherichia Coli &lt; 500 CFU/100ml, see </w:t>
      </w:r>
      <w:r w:rsidR="004B5D93">
        <w:rPr>
          <w:bCs/>
        </w:rPr>
        <w:t>Ta</w:t>
      </w:r>
      <w:r w:rsidRPr="004B5D93">
        <w:rPr>
          <w:bCs/>
        </w:rPr>
        <w:t xml:space="preserve">ble </w:t>
      </w:r>
      <w:r w:rsidR="004B5D93" w:rsidRPr="004B5D93">
        <w:rPr>
          <w:bCs/>
        </w:rPr>
        <w:t>4</w:t>
      </w:r>
      <w:r w:rsidRPr="004B5D93">
        <w:rPr>
          <w:bCs/>
        </w:rPr>
        <w:t>.</w:t>
      </w:r>
    </w:p>
    <w:p w:rsidR="006A610E" w:rsidRDefault="00F10B83" w:rsidP="006A610E">
      <w:pPr>
        <w:rPr>
          <w:bCs/>
        </w:rPr>
      </w:pPr>
      <w:r>
        <w:rPr>
          <w:bCs/>
        </w:rPr>
        <w:t>The environmental quality standards will lead to updating water quality objectives for the Island</w:t>
      </w:r>
      <w:r w:rsidR="00236D7C">
        <w:rPr>
          <w:bCs/>
        </w:rPr>
        <w:t>’</w:t>
      </w:r>
      <w:r>
        <w:rPr>
          <w:bCs/>
        </w:rPr>
        <w:t>s watercourses. The current water quality objectives were set</w:t>
      </w:r>
      <w:r w:rsidR="00531E10">
        <w:rPr>
          <w:bCs/>
        </w:rPr>
        <w:t xml:space="preserve"> by DEFA</w:t>
      </w:r>
      <w:r>
        <w:rPr>
          <w:bCs/>
        </w:rPr>
        <w:t xml:space="preserve"> in 2001</w:t>
      </w:r>
      <w:r w:rsidR="00236D7C">
        <w:rPr>
          <w:bCs/>
        </w:rPr>
        <w:t>.</w:t>
      </w:r>
      <w:r w:rsidR="00716E55" w:rsidDel="00716E55">
        <w:rPr>
          <w:bCs/>
        </w:rPr>
        <w:t xml:space="preserve"> </w:t>
      </w:r>
    </w:p>
    <w:p w:rsidR="006B4AA9" w:rsidRDefault="006B4AA9" w:rsidP="006B4AA9">
      <w:pPr>
        <w:pStyle w:val="ListParagraph"/>
        <w:numPr>
          <w:ilvl w:val="0"/>
          <w:numId w:val="3"/>
        </w:numPr>
        <w:rPr>
          <w:b/>
        </w:rPr>
      </w:pPr>
      <w:r>
        <w:rPr>
          <w:b/>
        </w:rPr>
        <w:t>Objectives</w:t>
      </w:r>
    </w:p>
    <w:p w:rsidR="00CE3741" w:rsidRDefault="00CE3741" w:rsidP="00CE3741">
      <w:pPr>
        <w:pStyle w:val="ListParagraph"/>
        <w:ind w:left="360"/>
        <w:rPr>
          <w:b/>
        </w:rPr>
      </w:pPr>
    </w:p>
    <w:p w:rsidR="001110F7" w:rsidRPr="00CE3741" w:rsidRDefault="001110F7" w:rsidP="001110F7">
      <w:pPr>
        <w:pStyle w:val="ListParagraph"/>
        <w:numPr>
          <w:ilvl w:val="0"/>
          <w:numId w:val="14"/>
        </w:numPr>
        <w:rPr>
          <w:b/>
        </w:rPr>
      </w:pPr>
      <w:r>
        <w:rPr>
          <w:bCs/>
        </w:rPr>
        <w:t xml:space="preserve">To seek views from the public on the proposed environmental quality standards as detailed </w:t>
      </w:r>
      <w:r w:rsidR="00CA37A0">
        <w:rPr>
          <w:bCs/>
        </w:rPr>
        <w:t>in Tables 1-3.</w:t>
      </w:r>
      <w:r>
        <w:rPr>
          <w:bCs/>
        </w:rPr>
        <w:t xml:space="preserve"> </w:t>
      </w:r>
    </w:p>
    <w:p w:rsidR="00CE3741" w:rsidRPr="00CE3741" w:rsidRDefault="001110F7" w:rsidP="00CE3741">
      <w:pPr>
        <w:pStyle w:val="ListParagraph"/>
        <w:numPr>
          <w:ilvl w:val="0"/>
          <w:numId w:val="14"/>
        </w:numPr>
        <w:rPr>
          <w:b/>
        </w:rPr>
      </w:pPr>
      <w:r w:rsidRPr="001110F7">
        <w:rPr>
          <w:bCs/>
        </w:rPr>
        <w:t>To seek views from the public on</w:t>
      </w:r>
      <w:r w:rsidR="00CA37A0">
        <w:rPr>
          <w:bCs/>
        </w:rPr>
        <w:t xml:space="preserve"> the recommendation as outlined by the external consultants APEM on introducing the environmental quality standards</w:t>
      </w:r>
    </w:p>
    <w:p w:rsidR="00CE3741" w:rsidRPr="00AD7768" w:rsidRDefault="00CE3741" w:rsidP="00CE3741">
      <w:pPr>
        <w:pStyle w:val="ListParagraph"/>
        <w:rPr>
          <w:b/>
        </w:rPr>
      </w:pPr>
    </w:p>
    <w:p w:rsidR="006B4AA9" w:rsidRPr="006B4AA9" w:rsidRDefault="006B4AA9">
      <w:pPr>
        <w:rPr>
          <w:b/>
          <w:sz w:val="28"/>
        </w:rPr>
      </w:pPr>
      <w:r>
        <w:rPr>
          <w:b/>
          <w:sz w:val="28"/>
        </w:rPr>
        <w:t xml:space="preserve">Part 2 </w:t>
      </w:r>
      <w:r w:rsidR="000B46F3">
        <w:rPr>
          <w:b/>
          <w:sz w:val="28"/>
        </w:rPr>
        <w:t xml:space="preserve">- </w:t>
      </w:r>
      <w:r>
        <w:rPr>
          <w:b/>
          <w:sz w:val="28"/>
        </w:rPr>
        <w:t>The Consultation</w:t>
      </w:r>
    </w:p>
    <w:p w:rsidR="00EF02D2" w:rsidRDefault="000B46F3" w:rsidP="00D42F23">
      <w:pPr>
        <w:pStyle w:val="ListParagraph"/>
        <w:ind w:left="360"/>
      </w:pPr>
      <w:r>
        <w:t xml:space="preserve">The Department of Environment, Food and Agriculture is seeking views on proposals to introduce </w:t>
      </w:r>
      <w:r w:rsidR="00531E10">
        <w:t>Water Quality Objectives (WQO) and Environmental Q</w:t>
      </w:r>
      <w:r>
        <w:t xml:space="preserve">uality </w:t>
      </w:r>
      <w:r w:rsidR="00531E10">
        <w:t>S</w:t>
      </w:r>
      <w:r>
        <w:t>tandards</w:t>
      </w:r>
      <w:r w:rsidR="00531E10">
        <w:t xml:space="preserve"> (EQS)</w:t>
      </w:r>
      <w:r>
        <w:t xml:space="preserve"> to assess water quality</w:t>
      </w:r>
      <w:r w:rsidR="000C5EAB">
        <w:t xml:space="preserve"> and monitor compliance</w:t>
      </w:r>
      <w:r w:rsidR="00EF02D2">
        <w:t xml:space="preserve"> </w:t>
      </w:r>
      <w:r w:rsidR="006F2460">
        <w:t xml:space="preserve">for </w:t>
      </w:r>
      <w:r w:rsidR="00716E55">
        <w:t>inland</w:t>
      </w:r>
      <w:r w:rsidR="006F2460">
        <w:t>, coastal and bathing waters</w:t>
      </w:r>
      <w:r w:rsidR="00EF02D2">
        <w:t xml:space="preserve"> in the Isle of Man</w:t>
      </w:r>
      <w:r>
        <w:t xml:space="preserve">. </w:t>
      </w:r>
    </w:p>
    <w:p w:rsidR="00716E55" w:rsidRDefault="00716E55" w:rsidP="00D42F23">
      <w:pPr>
        <w:pStyle w:val="ListParagraph"/>
        <w:ind w:left="360"/>
      </w:pPr>
    </w:p>
    <w:p w:rsidR="00D42F23" w:rsidRDefault="000B46F3" w:rsidP="00D42F23">
      <w:pPr>
        <w:pStyle w:val="ListParagraph"/>
        <w:ind w:left="360"/>
        <w:sectPr w:rsidR="00D42F23">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r>
        <w:t xml:space="preserve">The Department welcomes your responses to the following questions along with any additional comments on the proposals that you consider may be of relevance. </w:t>
      </w:r>
      <w:r w:rsidR="00D42F23">
        <w:t>This consultation will run for a period of 3 months.</w:t>
      </w:r>
    </w:p>
    <w:p w:rsidR="000B46F3" w:rsidRPr="00AD7768" w:rsidRDefault="000B46F3" w:rsidP="00AD7768">
      <w:pPr>
        <w:rPr>
          <w:b/>
          <w:u w:val="single"/>
        </w:rPr>
      </w:pPr>
      <w:r w:rsidRPr="00AD7768">
        <w:rPr>
          <w:b/>
          <w:u w:val="single"/>
        </w:rPr>
        <w:lastRenderedPageBreak/>
        <w:t>Section 1</w:t>
      </w:r>
      <w:r w:rsidR="00AD7768" w:rsidRPr="00AD7768">
        <w:rPr>
          <w:b/>
          <w:u w:val="single"/>
        </w:rPr>
        <w:t xml:space="preserve"> - </w:t>
      </w:r>
      <w:r w:rsidR="009C7B1D" w:rsidRPr="00AD7768">
        <w:rPr>
          <w:b/>
          <w:u w:val="single"/>
        </w:rPr>
        <w:t>Introduction</w:t>
      </w:r>
    </w:p>
    <w:p w:rsidR="00B60F39" w:rsidRPr="00B60F39" w:rsidRDefault="00B60F39" w:rsidP="00B60F39">
      <w:pPr>
        <w:spacing w:line="360" w:lineRule="auto"/>
        <w:rPr>
          <w:b/>
        </w:rPr>
      </w:pPr>
      <w:r>
        <w:rPr>
          <w:b/>
        </w:rPr>
        <w:t>Question 1</w:t>
      </w:r>
    </w:p>
    <w:p w:rsidR="00CE3741" w:rsidRDefault="000B46F3" w:rsidP="00B60F39">
      <w:pPr>
        <w:spacing w:line="360" w:lineRule="auto"/>
      </w:pPr>
      <w:r>
        <w:t xml:space="preserve">Tell us about yourself. </w:t>
      </w:r>
    </w:p>
    <w:p w:rsidR="00CE3741" w:rsidRDefault="00CE3741" w:rsidP="00CE3741">
      <w:pPr>
        <w:spacing w:line="360" w:lineRule="auto"/>
      </w:pPr>
      <w:r>
        <w:t>Name:</w:t>
      </w:r>
    </w:p>
    <w:p w:rsidR="000B46F3" w:rsidRDefault="000B46F3" w:rsidP="00CE3741">
      <w:pPr>
        <w:pStyle w:val="ListParagraph"/>
        <w:ind w:left="360"/>
      </w:pPr>
      <w:r>
        <w:t xml:space="preserve">To ensure that the process is open and honest responses can only be accepted if you provide your full name with your response. </w:t>
      </w:r>
      <w:r w:rsidR="006226CF">
        <w:t xml:space="preserve">If we publish a summary of responses your name will not be published. </w:t>
      </w:r>
    </w:p>
    <w:p w:rsidR="00CE3741" w:rsidRDefault="00CE3741" w:rsidP="00CE3741">
      <w:pPr>
        <w:pStyle w:val="ListParagraph"/>
        <w:ind w:left="360"/>
      </w:pPr>
      <w:r>
        <w:rPr>
          <w:noProof/>
          <w:lang w:eastAsia="en-GB"/>
        </w:rPr>
        <mc:AlternateContent>
          <mc:Choice Requires="wps">
            <w:drawing>
              <wp:anchor distT="0" distB="0" distL="114300" distR="114300" simplePos="0" relativeHeight="251669504" behindDoc="0" locked="0" layoutInCell="1" allowOverlap="1" wp14:anchorId="7FB30533" wp14:editId="3CCC6ABA">
                <wp:simplePos x="0" y="0"/>
                <wp:positionH relativeFrom="margin">
                  <wp:posOffset>-308758</wp:posOffset>
                </wp:positionH>
                <wp:positionV relativeFrom="paragraph">
                  <wp:posOffset>98787</wp:posOffset>
                </wp:positionV>
                <wp:extent cx="6324600" cy="1911927"/>
                <wp:effectExtent l="0" t="0" r="19050" b="12700"/>
                <wp:wrapNone/>
                <wp:docPr id="6" name="Rounded Rectangle 6"/>
                <wp:cNvGraphicFramePr/>
                <a:graphic xmlns:a="http://schemas.openxmlformats.org/drawingml/2006/main">
                  <a:graphicData uri="http://schemas.microsoft.com/office/word/2010/wordprocessingShape">
                    <wps:wsp>
                      <wps:cNvSpPr/>
                      <wps:spPr>
                        <a:xfrm>
                          <a:off x="0" y="0"/>
                          <a:ext cx="6324600" cy="191192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53E49" id="Rounded Rectangle 6" o:spid="_x0000_s1026" style="position:absolute;margin-left:-24.3pt;margin-top:7.8pt;width:498pt;height:15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jnQIAAJIFAAAOAAAAZHJzL2Uyb0RvYy54bWysVFFP2zAQfp+0/2D5fSTpSo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" filled="f" strokecolor="black [3213]" strokeweight="2pt">
                <w10:wrap anchorx="margin"/>
              </v:roundrect>
            </w:pict>
          </mc:Fallback>
        </mc:AlternateContent>
      </w:r>
    </w:p>
    <w:p w:rsidR="00CE3741" w:rsidRDefault="00CE3741" w:rsidP="00AD7768">
      <w:pPr>
        <w:pStyle w:val="ListParagraph"/>
        <w:ind w:left="360"/>
        <w:rPr>
          <w:bCs/>
        </w:rPr>
      </w:pPr>
    </w:p>
    <w:p w:rsidR="00CE3741" w:rsidRPr="00CE3741" w:rsidRDefault="00CE3741" w:rsidP="00CE3741"/>
    <w:p w:rsidR="00CE3741" w:rsidRPr="00CE3741" w:rsidRDefault="00CE3741" w:rsidP="00CE3741"/>
    <w:p w:rsidR="00CE3741" w:rsidRPr="00CE3741" w:rsidRDefault="00CE3741" w:rsidP="00CE3741"/>
    <w:p w:rsidR="00CE3741" w:rsidRPr="00CE3741" w:rsidRDefault="00CE3741" w:rsidP="00CE3741"/>
    <w:p w:rsidR="00CE3741" w:rsidRPr="00CE3741" w:rsidRDefault="00CE3741" w:rsidP="00CE3741"/>
    <w:p w:rsidR="009C7B1D" w:rsidRPr="00AD7768" w:rsidRDefault="00CE3741" w:rsidP="00AD7768">
      <w:pPr>
        <w:rPr>
          <w:b/>
          <w:u w:val="single"/>
        </w:rPr>
      </w:pPr>
      <w:r>
        <w:rPr>
          <w:b/>
          <w:u w:val="single"/>
        </w:rPr>
        <w:t>S</w:t>
      </w:r>
      <w:r w:rsidR="009C7B1D" w:rsidRPr="00AD7768">
        <w:rPr>
          <w:b/>
          <w:u w:val="single"/>
        </w:rPr>
        <w:t xml:space="preserve">ection </w:t>
      </w:r>
      <w:r w:rsidR="003208B2">
        <w:rPr>
          <w:b/>
          <w:u w:val="single"/>
        </w:rPr>
        <w:t>2</w:t>
      </w:r>
      <w:r w:rsidR="00AD7768" w:rsidRPr="00AD7768">
        <w:rPr>
          <w:b/>
          <w:u w:val="single"/>
        </w:rPr>
        <w:t xml:space="preserve"> - </w:t>
      </w:r>
      <w:r w:rsidR="009C7B1D" w:rsidRPr="00AD7768">
        <w:rPr>
          <w:b/>
          <w:u w:val="single"/>
        </w:rPr>
        <w:t xml:space="preserve">Environmental Quality Standards (EQS) </w:t>
      </w:r>
      <w:r w:rsidR="00653E91">
        <w:rPr>
          <w:b/>
          <w:u w:val="single"/>
        </w:rPr>
        <w:t>–</w:t>
      </w:r>
      <w:r w:rsidR="009C7B1D" w:rsidRPr="00AD7768">
        <w:rPr>
          <w:b/>
          <w:u w:val="single"/>
        </w:rPr>
        <w:t xml:space="preserve"> </w:t>
      </w:r>
      <w:r w:rsidR="00653E91">
        <w:rPr>
          <w:b/>
          <w:u w:val="single"/>
        </w:rPr>
        <w:t>Tables 1-3</w:t>
      </w:r>
    </w:p>
    <w:p w:rsidR="00B60F39" w:rsidRPr="00B60F39" w:rsidRDefault="00B60F39" w:rsidP="00B60F39">
      <w:pPr>
        <w:rPr>
          <w:b/>
        </w:rPr>
      </w:pPr>
      <w:r>
        <w:rPr>
          <w:b/>
        </w:rPr>
        <w:t>Question 2</w:t>
      </w:r>
    </w:p>
    <w:p w:rsidR="008E2776" w:rsidRDefault="008E2776" w:rsidP="00B60F39">
      <w:r w:rsidRPr="008E2776">
        <w:t xml:space="preserve">It is important to protect Manx rivers, streams, lakes and reservoirs from pollutants such as from agricultural run-off, sewage discharges, heavy metal contamination and pesticides.  Please provide your views on the table below which sets out the proposed EQS for inland waters.  </w:t>
      </w:r>
    </w:p>
    <w:p w:rsidR="009C7B1D" w:rsidRDefault="008E2776" w:rsidP="008E2776">
      <w:r w:rsidRPr="008E2776">
        <w:t xml:space="preserve">More information can be found in </w:t>
      </w:r>
      <w:r w:rsidR="00BE17CF">
        <w:t xml:space="preserve">Section 4 of </w:t>
      </w:r>
      <w:r w:rsidRPr="008E2776">
        <w:t xml:space="preserve">the </w:t>
      </w:r>
      <w:r w:rsidR="00BE17CF">
        <w:t>APEM</w:t>
      </w:r>
      <w:r w:rsidRPr="008E2776">
        <w:t xml:space="preserve"> report on </w:t>
      </w:r>
      <w:r w:rsidR="00BE17CF">
        <w:t>the p</w:t>
      </w:r>
      <w:r w:rsidRPr="008E2776">
        <w:t>ropose</w:t>
      </w:r>
      <w:r w:rsidR="00BE17CF">
        <w:t>d EQS for the Isle of Man</w:t>
      </w:r>
      <w:r>
        <w:t>;</w:t>
      </w:r>
      <w:r w:rsidRPr="008E2776">
        <w:t> </w:t>
      </w:r>
      <w:hyperlink r:id="rId15" w:history="1">
        <w:r w:rsidR="00B91529" w:rsidRPr="00356CAB">
          <w:rPr>
            <w:rStyle w:val="Hyperlink"/>
          </w:rPr>
          <w:t>https://www.gov.im/media/1369698/proposed-eqs-apem-report.pdf</w:t>
        </w:r>
      </w:hyperlink>
      <w:r w:rsidR="00B91529">
        <w:t xml:space="preserve"> </w:t>
      </w:r>
      <w:r>
        <w:t xml:space="preserve"> </w:t>
      </w:r>
      <w:r w:rsidR="009C7B1D">
        <w:t xml:space="preserve"> </w:t>
      </w:r>
    </w:p>
    <w:p w:rsidR="00653E91" w:rsidRDefault="00653E91" w:rsidP="00653E91">
      <w:pPr>
        <w:pStyle w:val="Caption"/>
        <w:keepNext/>
      </w:pPr>
      <w:r>
        <w:t xml:space="preserve">Table </w:t>
      </w:r>
      <w:fldSimple w:instr=" SEQ Table \* ARABIC ">
        <w:r w:rsidR="004B5D93">
          <w:rPr>
            <w:noProof/>
          </w:rPr>
          <w:t>1</w:t>
        </w:r>
      </w:fldSimple>
      <w:r>
        <w:t xml:space="preserve">. </w:t>
      </w:r>
      <w:r w:rsidRPr="00CE3409">
        <w:t xml:space="preserve">Summary of the EQS for </w:t>
      </w:r>
      <w:r w:rsidR="008E2776">
        <w:t>inland waters</w:t>
      </w:r>
    </w:p>
    <w:tbl>
      <w:tblPr>
        <w:tblStyle w:val="TableGrid"/>
        <w:tblW w:w="8926" w:type="dxa"/>
        <w:jc w:val="center"/>
        <w:tblLayout w:type="fixed"/>
        <w:tblLook w:val="04A0" w:firstRow="1" w:lastRow="0" w:firstColumn="1" w:lastColumn="0" w:noHBand="0" w:noVBand="1"/>
      </w:tblPr>
      <w:tblGrid>
        <w:gridCol w:w="2972"/>
        <w:gridCol w:w="1985"/>
        <w:gridCol w:w="1984"/>
        <w:gridCol w:w="1985"/>
      </w:tblGrid>
      <w:tr w:rsidR="00CA37A0" w:rsidRPr="00890BA7" w:rsidTr="00A269FD">
        <w:trPr>
          <w:cantSplit/>
          <w:tblHeader/>
          <w:jc w:val="center"/>
        </w:trPr>
        <w:tc>
          <w:tcPr>
            <w:tcW w:w="2972" w:type="dxa"/>
            <w:shd w:val="clear" w:color="auto" w:fill="00B0F0"/>
            <w:vAlign w:val="center"/>
          </w:tcPr>
          <w:p w:rsidR="00CA37A0" w:rsidRPr="00824DE8" w:rsidRDefault="00CA37A0" w:rsidP="00A269FD">
            <w:pPr>
              <w:spacing w:before="60" w:after="60"/>
              <w:jc w:val="center"/>
              <w:rPr>
                <w:b/>
                <w:bCs/>
                <w:color w:val="FFFFFF" w:themeColor="background1"/>
              </w:rPr>
            </w:pPr>
            <w:r w:rsidRPr="00824DE8">
              <w:rPr>
                <w:b/>
                <w:bCs/>
                <w:color w:val="FFFFFF" w:themeColor="background1"/>
              </w:rPr>
              <w:t>Parameter</w:t>
            </w:r>
          </w:p>
        </w:tc>
        <w:tc>
          <w:tcPr>
            <w:tcW w:w="1985" w:type="dxa"/>
            <w:shd w:val="clear" w:color="auto" w:fill="00B0F0"/>
            <w:vAlign w:val="center"/>
          </w:tcPr>
          <w:p w:rsidR="00CA37A0" w:rsidRPr="00824DE8" w:rsidRDefault="00CA37A0" w:rsidP="00A269FD">
            <w:pPr>
              <w:spacing w:before="60" w:after="60"/>
              <w:jc w:val="center"/>
              <w:rPr>
                <w:b/>
                <w:bCs/>
                <w:color w:val="FFFFFF" w:themeColor="background1"/>
              </w:rPr>
            </w:pPr>
            <w:r w:rsidRPr="00824DE8">
              <w:rPr>
                <w:b/>
                <w:bCs/>
                <w:color w:val="FFFFFF" w:themeColor="background1"/>
              </w:rPr>
              <w:t>Mean value</w:t>
            </w:r>
          </w:p>
        </w:tc>
        <w:tc>
          <w:tcPr>
            <w:tcW w:w="1984" w:type="dxa"/>
            <w:shd w:val="clear" w:color="auto" w:fill="00B0F0"/>
            <w:vAlign w:val="center"/>
          </w:tcPr>
          <w:p w:rsidR="00CA37A0" w:rsidRPr="00824DE8" w:rsidRDefault="00CA37A0" w:rsidP="00A269FD">
            <w:pPr>
              <w:spacing w:before="60" w:after="60"/>
              <w:jc w:val="center"/>
              <w:rPr>
                <w:b/>
                <w:bCs/>
                <w:color w:val="FFFFFF" w:themeColor="background1"/>
              </w:rPr>
            </w:pPr>
            <w:r w:rsidRPr="00824DE8">
              <w:rPr>
                <w:b/>
                <w:bCs/>
                <w:color w:val="FFFFFF" w:themeColor="background1"/>
              </w:rPr>
              <w:t>Maximum</w:t>
            </w:r>
            <w:r>
              <w:rPr>
                <w:b/>
                <w:bCs/>
                <w:color w:val="FFFFFF" w:themeColor="background1"/>
              </w:rPr>
              <w:t xml:space="preserve"> or percentile</w:t>
            </w:r>
            <w:r w:rsidRPr="00824DE8">
              <w:rPr>
                <w:b/>
                <w:bCs/>
                <w:color w:val="FFFFFF" w:themeColor="background1"/>
              </w:rPr>
              <w:t xml:space="preserve"> concen</w:t>
            </w:r>
            <w:r>
              <w:rPr>
                <w:b/>
                <w:bCs/>
                <w:color w:val="FFFFFF" w:themeColor="background1"/>
              </w:rPr>
              <w:t>t</w:t>
            </w:r>
            <w:r w:rsidRPr="00824DE8">
              <w:rPr>
                <w:b/>
                <w:bCs/>
                <w:color w:val="FFFFFF" w:themeColor="background1"/>
              </w:rPr>
              <w:t>ration</w:t>
            </w:r>
          </w:p>
        </w:tc>
        <w:tc>
          <w:tcPr>
            <w:tcW w:w="1985" w:type="dxa"/>
            <w:shd w:val="clear" w:color="auto" w:fill="00B0F0"/>
            <w:vAlign w:val="center"/>
          </w:tcPr>
          <w:p w:rsidR="00CA37A0" w:rsidRDefault="00CA37A0" w:rsidP="00A269FD">
            <w:pPr>
              <w:spacing w:before="60" w:after="60"/>
              <w:jc w:val="center"/>
              <w:rPr>
                <w:b/>
                <w:bCs/>
                <w:color w:val="FFFFFF" w:themeColor="background1"/>
              </w:rPr>
            </w:pPr>
            <w:r>
              <w:rPr>
                <w:b/>
                <w:bCs/>
                <w:color w:val="FFFFFF" w:themeColor="background1"/>
              </w:rPr>
              <w:t>Type of parameter</w:t>
            </w:r>
          </w:p>
        </w:tc>
      </w:tr>
      <w:tr w:rsidR="00CA37A0" w:rsidRPr="00890BA7" w:rsidTr="00A269FD">
        <w:trPr>
          <w:cantSplit/>
          <w:jc w:val="center"/>
        </w:trPr>
        <w:tc>
          <w:tcPr>
            <w:tcW w:w="2972" w:type="dxa"/>
            <w:vAlign w:val="center"/>
          </w:tcPr>
          <w:p w:rsidR="00CA37A0" w:rsidRPr="00824DE8" w:rsidRDefault="00CA37A0" w:rsidP="00A269FD">
            <w:pPr>
              <w:spacing w:before="60" w:after="60"/>
            </w:pPr>
            <w:r>
              <w:t>Ammonia (total as N 90%ile, mg/l)</w:t>
            </w:r>
          </w:p>
        </w:tc>
        <w:tc>
          <w:tcPr>
            <w:tcW w:w="1985" w:type="dxa"/>
            <w:vAlign w:val="center"/>
          </w:tcPr>
          <w:p w:rsidR="00CA37A0" w:rsidRPr="00824DE8" w:rsidRDefault="00CA37A0" w:rsidP="00A269FD">
            <w:pPr>
              <w:spacing w:before="60" w:after="60"/>
              <w:jc w:val="center"/>
            </w:pPr>
            <w:r w:rsidRPr="00824DE8">
              <w:t>-</w:t>
            </w:r>
          </w:p>
        </w:tc>
        <w:tc>
          <w:tcPr>
            <w:tcW w:w="1984" w:type="dxa"/>
            <w:vAlign w:val="center"/>
          </w:tcPr>
          <w:p w:rsidR="00CA37A0" w:rsidRPr="00824DE8" w:rsidRDefault="00CA37A0" w:rsidP="00A269FD">
            <w:pPr>
              <w:spacing w:before="60" w:after="60"/>
              <w:jc w:val="center"/>
            </w:pPr>
            <w:r w:rsidRPr="00824DE8">
              <w:t>0.3</w:t>
            </w:r>
          </w:p>
        </w:tc>
        <w:tc>
          <w:tcPr>
            <w:tcW w:w="1985" w:type="dxa"/>
            <w:vAlign w:val="center"/>
          </w:tcPr>
          <w:p w:rsidR="00CA37A0" w:rsidRPr="00824DE8" w:rsidRDefault="00CA37A0" w:rsidP="00A269FD">
            <w:pPr>
              <w:spacing w:before="60" w:after="60"/>
            </w:pPr>
            <w:r>
              <w:t>Physico-chemical parameter</w:t>
            </w:r>
          </w:p>
        </w:tc>
      </w:tr>
      <w:tr w:rsidR="00CA37A0" w:rsidRPr="00890BA7" w:rsidTr="00A269FD">
        <w:trPr>
          <w:cantSplit/>
          <w:jc w:val="center"/>
        </w:trPr>
        <w:tc>
          <w:tcPr>
            <w:tcW w:w="2972" w:type="dxa"/>
            <w:vAlign w:val="center"/>
          </w:tcPr>
          <w:p w:rsidR="00CA37A0" w:rsidRPr="00824DE8" w:rsidRDefault="00CA37A0" w:rsidP="00A269FD">
            <w:pPr>
              <w:spacing w:before="60" w:after="60"/>
            </w:pPr>
            <w:r>
              <w:t>Biochemical oxygen demand (BOD 90%ile, mg/l)</w:t>
            </w:r>
          </w:p>
        </w:tc>
        <w:tc>
          <w:tcPr>
            <w:tcW w:w="1985" w:type="dxa"/>
            <w:vAlign w:val="center"/>
          </w:tcPr>
          <w:p w:rsidR="00CA37A0" w:rsidRPr="00824DE8" w:rsidRDefault="00CA37A0" w:rsidP="00A269FD">
            <w:pPr>
              <w:spacing w:before="60" w:after="60"/>
              <w:jc w:val="center"/>
            </w:pPr>
            <w:r w:rsidRPr="00824DE8">
              <w:t>-</w:t>
            </w:r>
          </w:p>
        </w:tc>
        <w:tc>
          <w:tcPr>
            <w:tcW w:w="1984" w:type="dxa"/>
            <w:vAlign w:val="center"/>
          </w:tcPr>
          <w:p w:rsidR="00CA37A0" w:rsidRPr="00824DE8" w:rsidRDefault="00CA37A0" w:rsidP="00A269FD">
            <w:pPr>
              <w:spacing w:before="60" w:after="60"/>
              <w:jc w:val="center"/>
            </w:pPr>
            <w:r>
              <w:t>4</w:t>
            </w:r>
          </w:p>
        </w:tc>
        <w:tc>
          <w:tcPr>
            <w:tcW w:w="1985" w:type="dxa"/>
          </w:tcPr>
          <w:p w:rsidR="00CA37A0" w:rsidRDefault="00CA37A0" w:rsidP="00A269FD">
            <w:pPr>
              <w:spacing w:before="60" w:after="60"/>
            </w:pPr>
            <w:r w:rsidRPr="00E453B8">
              <w:t>Physico</w:t>
            </w:r>
            <w:r>
              <w:t>-</w:t>
            </w:r>
            <w:r w:rsidRPr="00E453B8">
              <w:t>chemical parameter</w:t>
            </w:r>
          </w:p>
        </w:tc>
      </w:tr>
      <w:tr w:rsidR="00CA37A0" w:rsidRPr="00890BA7" w:rsidTr="00A269FD">
        <w:trPr>
          <w:cantSplit/>
          <w:jc w:val="center"/>
        </w:trPr>
        <w:tc>
          <w:tcPr>
            <w:tcW w:w="2972" w:type="dxa"/>
            <w:vAlign w:val="center"/>
          </w:tcPr>
          <w:p w:rsidR="00CA37A0" w:rsidRPr="00824DE8" w:rsidRDefault="00CA37A0" w:rsidP="00A269FD">
            <w:pPr>
              <w:spacing w:before="60" w:after="60"/>
            </w:pPr>
            <w:r>
              <w:t>Dissolved oxygen (as percentage saturation, 10%ile))</w:t>
            </w:r>
          </w:p>
        </w:tc>
        <w:tc>
          <w:tcPr>
            <w:tcW w:w="1985" w:type="dxa"/>
            <w:vAlign w:val="center"/>
          </w:tcPr>
          <w:p w:rsidR="00CA37A0" w:rsidRPr="00824DE8" w:rsidRDefault="00CA37A0" w:rsidP="00A269FD">
            <w:pPr>
              <w:spacing w:before="60" w:after="60"/>
              <w:jc w:val="center"/>
            </w:pPr>
            <w:r w:rsidRPr="00824DE8">
              <w:t>-</w:t>
            </w:r>
          </w:p>
        </w:tc>
        <w:tc>
          <w:tcPr>
            <w:tcW w:w="1984" w:type="dxa"/>
            <w:vAlign w:val="center"/>
          </w:tcPr>
          <w:p w:rsidR="00CA37A0" w:rsidRPr="00824DE8" w:rsidRDefault="00CA37A0" w:rsidP="00A269FD">
            <w:pPr>
              <w:spacing w:before="60" w:after="60"/>
              <w:jc w:val="center"/>
            </w:pPr>
            <w:r w:rsidRPr="00824DE8">
              <w:t>75</w:t>
            </w:r>
          </w:p>
        </w:tc>
        <w:tc>
          <w:tcPr>
            <w:tcW w:w="1985" w:type="dxa"/>
          </w:tcPr>
          <w:p w:rsidR="00CA37A0" w:rsidRDefault="00CA37A0" w:rsidP="00A269FD">
            <w:pPr>
              <w:spacing w:before="60" w:after="60"/>
            </w:pPr>
            <w:r w:rsidRPr="00E453B8">
              <w:t>Physico</w:t>
            </w:r>
            <w:r>
              <w:t>-</w:t>
            </w:r>
            <w:r w:rsidRPr="00E453B8">
              <w:t>chemical parameter</w:t>
            </w:r>
          </w:p>
        </w:tc>
      </w:tr>
      <w:tr w:rsidR="00CA37A0" w:rsidRPr="00890BA7" w:rsidTr="00A269FD">
        <w:trPr>
          <w:cantSplit/>
          <w:jc w:val="center"/>
        </w:trPr>
        <w:tc>
          <w:tcPr>
            <w:tcW w:w="2972" w:type="dxa"/>
            <w:vAlign w:val="center"/>
          </w:tcPr>
          <w:p w:rsidR="00CA37A0" w:rsidRPr="00824DE8" w:rsidRDefault="00CA37A0" w:rsidP="00A269FD">
            <w:pPr>
              <w:spacing w:before="60" w:after="60"/>
            </w:pPr>
            <w:r>
              <w:t>pH (</w:t>
            </w:r>
            <w:r w:rsidRPr="00D526F9">
              <w:t>5 and 95 percentiles</w:t>
            </w:r>
            <w:r>
              <w:t>)</w:t>
            </w:r>
          </w:p>
        </w:tc>
        <w:tc>
          <w:tcPr>
            <w:tcW w:w="1985" w:type="dxa"/>
            <w:vAlign w:val="center"/>
          </w:tcPr>
          <w:p w:rsidR="00CA37A0" w:rsidRPr="00824DE8" w:rsidRDefault="00CA37A0" w:rsidP="00A269FD">
            <w:pPr>
              <w:spacing w:before="60" w:after="60"/>
              <w:jc w:val="center"/>
            </w:pPr>
            <w:r w:rsidRPr="00824DE8">
              <w:t>-</w:t>
            </w:r>
          </w:p>
        </w:tc>
        <w:tc>
          <w:tcPr>
            <w:tcW w:w="1984" w:type="dxa"/>
            <w:vAlign w:val="center"/>
          </w:tcPr>
          <w:p w:rsidR="00CA37A0" w:rsidRPr="00824DE8" w:rsidRDefault="00CA37A0" w:rsidP="00A269FD">
            <w:pPr>
              <w:spacing w:before="60" w:after="60"/>
              <w:jc w:val="center"/>
            </w:pPr>
            <w:r w:rsidRPr="00787D2C">
              <w:rPr>
                <w:u w:val="single"/>
              </w:rPr>
              <w:t>&gt;</w:t>
            </w:r>
            <w:r>
              <w:t xml:space="preserve">6 to </w:t>
            </w:r>
            <w:r w:rsidRPr="00787D2C">
              <w:rPr>
                <w:u w:val="single"/>
              </w:rPr>
              <w:t>&lt;</w:t>
            </w:r>
            <w:r>
              <w:t>9</w:t>
            </w:r>
          </w:p>
        </w:tc>
        <w:tc>
          <w:tcPr>
            <w:tcW w:w="1985" w:type="dxa"/>
          </w:tcPr>
          <w:p w:rsidR="00CA37A0" w:rsidRDefault="00CA37A0" w:rsidP="00A269FD">
            <w:pPr>
              <w:spacing w:before="60" w:after="60"/>
            </w:pPr>
            <w:r w:rsidRPr="00E453B8">
              <w:t>Physico</w:t>
            </w:r>
            <w:r>
              <w:t>-</w:t>
            </w:r>
            <w:r w:rsidRPr="00E453B8">
              <w:t>chemical parameter</w:t>
            </w:r>
          </w:p>
        </w:tc>
      </w:tr>
      <w:tr w:rsidR="00CA37A0" w:rsidRPr="00890BA7" w:rsidTr="00A269FD">
        <w:trPr>
          <w:cantSplit/>
          <w:jc w:val="center"/>
        </w:trPr>
        <w:tc>
          <w:tcPr>
            <w:tcW w:w="2972" w:type="dxa"/>
            <w:vAlign w:val="center"/>
          </w:tcPr>
          <w:p w:rsidR="00CA37A0" w:rsidRPr="00824DE8" w:rsidRDefault="00CA37A0" w:rsidP="00A269FD">
            <w:pPr>
              <w:spacing w:before="60" w:after="60"/>
            </w:pPr>
            <w:r>
              <w:lastRenderedPageBreak/>
              <w:t>Nitrate (as NO3, mg/l)</w:t>
            </w:r>
          </w:p>
        </w:tc>
        <w:tc>
          <w:tcPr>
            <w:tcW w:w="1985" w:type="dxa"/>
            <w:vAlign w:val="center"/>
          </w:tcPr>
          <w:p w:rsidR="00CA37A0" w:rsidRPr="00824DE8" w:rsidRDefault="00CA37A0" w:rsidP="00A269FD">
            <w:pPr>
              <w:spacing w:before="60" w:after="60"/>
              <w:jc w:val="center"/>
            </w:pPr>
            <w:r w:rsidRPr="00824DE8">
              <w:t>-</w:t>
            </w:r>
          </w:p>
        </w:tc>
        <w:tc>
          <w:tcPr>
            <w:tcW w:w="1984" w:type="dxa"/>
            <w:vAlign w:val="center"/>
          </w:tcPr>
          <w:p w:rsidR="00CA37A0" w:rsidRPr="00824DE8" w:rsidRDefault="00CA37A0" w:rsidP="00A269FD">
            <w:pPr>
              <w:spacing w:before="60" w:after="60"/>
              <w:jc w:val="center"/>
            </w:pPr>
            <w:r w:rsidRPr="00D9265D">
              <w:rPr>
                <w:szCs w:val="22"/>
              </w:rPr>
              <w:t>&gt;5 to 10</w:t>
            </w:r>
          </w:p>
        </w:tc>
        <w:tc>
          <w:tcPr>
            <w:tcW w:w="1985" w:type="dxa"/>
            <w:vAlign w:val="center"/>
          </w:tcPr>
          <w:p w:rsidR="00CA37A0" w:rsidRDefault="00CA37A0" w:rsidP="00A269FD">
            <w:pPr>
              <w:spacing w:before="60" w:after="60"/>
            </w:pPr>
            <w:r>
              <w:t>Nutrient</w:t>
            </w:r>
          </w:p>
        </w:tc>
      </w:tr>
      <w:tr w:rsidR="00CA37A0" w:rsidRPr="00890BA7" w:rsidTr="00A269FD">
        <w:trPr>
          <w:cantSplit/>
          <w:jc w:val="center"/>
        </w:trPr>
        <w:tc>
          <w:tcPr>
            <w:tcW w:w="2972" w:type="dxa"/>
            <w:vAlign w:val="center"/>
          </w:tcPr>
          <w:p w:rsidR="00CA37A0" w:rsidRPr="00824DE8" w:rsidRDefault="00CA37A0" w:rsidP="00A269FD">
            <w:pPr>
              <w:spacing w:before="60" w:after="60"/>
            </w:pPr>
            <w:r>
              <w:t>Phosphorus (as P, mg/l)</w:t>
            </w:r>
          </w:p>
        </w:tc>
        <w:tc>
          <w:tcPr>
            <w:tcW w:w="1985" w:type="dxa"/>
            <w:vAlign w:val="center"/>
          </w:tcPr>
          <w:p w:rsidR="00CA37A0" w:rsidRPr="00824DE8" w:rsidRDefault="00CA37A0" w:rsidP="00A269FD">
            <w:pPr>
              <w:spacing w:before="60" w:after="60"/>
              <w:jc w:val="center"/>
            </w:pPr>
            <w:r w:rsidRPr="00824DE8">
              <w:t>0.046</w:t>
            </w:r>
          </w:p>
        </w:tc>
        <w:tc>
          <w:tcPr>
            <w:tcW w:w="1984" w:type="dxa"/>
            <w:vAlign w:val="center"/>
          </w:tcPr>
          <w:p w:rsidR="00CA37A0" w:rsidRPr="00824DE8" w:rsidRDefault="00CA37A0" w:rsidP="00A269FD">
            <w:pPr>
              <w:spacing w:before="60" w:after="60"/>
              <w:jc w:val="center"/>
            </w:pPr>
            <w:r w:rsidRPr="00824DE8">
              <w:t>-</w:t>
            </w:r>
          </w:p>
        </w:tc>
        <w:tc>
          <w:tcPr>
            <w:tcW w:w="1985" w:type="dxa"/>
          </w:tcPr>
          <w:p w:rsidR="00CA37A0" w:rsidRDefault="00CA37A0" w:rsidP="00A269FD">
            <w:pPr>
              <w:spacing w:before="60" w:after="60"/>
            </w:pPr>
            <w:r>
              <w:t>Nutrient</w:t>
            </w:r>
          </w:p>
        </w:tc>
      </w:tr>
      <w:tr w:rsidR="00CA37A0" w:rsidRPr="00890BA7" w:rsidTr="00A269FD">
        <w:trPr>
          <w:cantSplit/>
          <w:jc w:val="center"/>
        </w:trPr>
        <w:tc>
          <w:tcPr>
            <w:tcW w:w="2972" w:type="dxa"/>
            <w:vAlign w:val="center"/>
          </w:tcPr>
          <w:p w:rsidR="00CA37A0" w:rsidRPr="00824DE8" w:rsidRDefault="00CA37A0" w:rsidP="00A269FD">
            <w:pPr>
              <w:spacing w:before="60" w:after="60"/>
            </w:pPr>
            <w:r w:rsidRPr="00824DE8">
              <w:t>Arsenic</w:t>
            </w:r>
            <w:r>
              <w:t xml:space="preserve"> (µg/l)</w:t>
            </w:r>
          </w:p>
        </w:tc>
        <w:tc>
          <w:tcPr>
            <w:tcW w:w="1985" w:type="dxa"/>
            <w:vAlign w:val="center"/>
          </w:tcPr>
          <w:p w:rsidR="00CA37A0" w:rsidRPr="00824DE8" w:rsidRDefault="00CA37A0" w:rsidP="00A269FD">
            <w:pPr>
              <w:spacing w:before="60" w:after="60"/>
              <w:jc w:val="center"/>
            </w:pPr>
            <w:r>
              <w:t>50</w:t>
            </w:r>
          </w:p>
        </w:tc>
        <w:tc>
          <w:tcPr>
            <w:tcW w:w="1984" w:type="dxa"/>
            <w:vAlign w:val="center"/>
          </w:tcPr>
          <w:p w:rsidR="00CA37A0" w:rsidRPr="00824DE8" w:rsidRDefault="00CA37A0" w:rsidP="00A269FD">
            <w:pPr>
              <w:spacing w:before="60" w:after="60"/>
              <w:jc w:val="center"/>
            </w:pPr>
            <w:r w:rsidRPr="00824DE8">
              <w:t>-</w:t>
            </w:r>
          </w:p>
        </w:tc>
        <w:tc>
          <w:tcPr>
            <w:tcW w:w="1985" w:type="dxa"/>
            <w:vAlign w:val="center"/>
          </w:tcPr>
          <w:p w:rsidR="00CA37A0" w:rsidRDefault="00CA37A0" w:rsidP="00A269FD">
            <w:pPr>
              <w:spacing w:before="60" w:after="60"/>
            </w:pPr>
            <w:r>
              <w:t xml:space="preserve">Heavy metal </w:t>
            </w:r>
          </w:p>
        </w:tc>
      </w:tr>
      <w:tr w:rsidR="00CA37A0" w:rsidRPr="00890BA7" w:rsidTr="00A269FD">
        <w:trPr>
          <w:cantSplit/>
          <w:jc w:val="center"/>
        </w:trPr>
        <w:tc>
          <w:tcPr>
            <w:tcW w:w="2972" w:type="dxa"/>
            <w:vAlign w:val="center"/>
          </w:tcPr>
          <w:p w:rsidR="00CA37A0" w:rsidRPr="00824DE8" w:rsidRDefault="00CA37A0" w:rsidP="00A269FD">
            <w:pPr>
              <w:spacing w:before="60" w:after="60"/>
            </w:pPr>
            <w:r>
              <w:t>Cadmium (µg/l)</w:t>
            </w:r>
          </w:p>
        </w:tc>
        <w:tc>
          <w:tcPr>
            <w:tcW w:w="1985" w:type="dxa"/>
          </w:tcPr>
          <w:p w:rsidR="00CA37A0" w:rsidRPr="00824DE8" w:rsidRDefault="00CA37A0" w:rsidP="00A269FD">
            <w:pPr>
              <w:spacing w:before="60" w:after="60"/>
              <w:jc w:val="center"/>
            </w:pPr>
            <w:r w:rsidRPr="002F0ACF">
              <w:t>EQS will be site specific</w:t>
            </w:r>
          </w:p>
        </w:tc>
        <w:tc>
          <w:tcPr>
            <w:tcW w:w="1984" w:type="dxa"/>
          </w:tcPr>
          <w:p w:rsidR="00CA37A0" w:rsidRPr="00824DE8" w:rsidRDefault="00CA37A0" w:rsidP="00A269FD">
            <w:pPr>
              <w:spacing w:before="60" w:after="60"/>
              <w:jc w:val="center"/>
            </w:pPr>
            <w:r w:rsidRPr="00BC777F">
              <w:t>-</w:t>
            </w:r>
          </w:p>
        </w:tc>
        <w:tc>
          <w:tcPr>
            <w:tcW w:w="1985" w:type="dxa"/>
          </w:tcPr>
          <w:p w:rsidR="00CA37A0" w:rsidRDefault="00CA37A0" w:rsidP="00A269FD">
            <w:pPr>
              <w:spacing w:before="60" w:after="60"/>
            </w:pPr>
            <w:r w:rsidRPr="00AD57DF">
              <w:t xml:space="preserve">Heavy metal </w:t>
            </w:r>
          </w:p>
        </w:tc>
      </w:tr>
      <w:tr w:rsidR="00CA37A0" w:rsidRPr="00890BA7" w:rsidTr="00A269FD">
        <w:trPr>
          <w:cantSplit/>
          <w:jc w:val="center"/>
        </w:trPr>
        <w:tc>
          <w:tcPr>
            <w:tcW w:w="2972" w:type="dxa"/>
            <w:vAlign w:val="center"/>
          </w:tcPr>
          <w:p w:rsidR="00CA37A0" w:rsidRPr="00824DE8" w:rsidRDefault="00CA37A0" w:rsidP="00A269FD">
            <w:pPr>
              <w:spacing w:before="60" w:after="60"/>
            </w:pPr>
            <w:r>
              <w:t>Copper (µg/l)</w:t>
            </w:r>
          </w:p>
        </w:tc>
        <w:tc>
          <w:tcPr>
            <w:tcW w:w="1985" w:type="dxa"/>
          </w:tcPr>
          <w:p w:rsidR="00CA37A0" w:rsidRPr="00824DE8" w:rsidRDefault="00CA37A0" w:rsidP="00A269FD">
            <w:pPr>
              <w:spacing w:before="60" w:after="60"/>
              <w:jc w:val="center"/>
            </w:pPr>
            <w:r w:rsidRPr="002F0ACF">
              <w:t>EQS will be site specific</w:t>
            </w:r>
          </w:p>
        </w:tc>
        <w:tc>
          <w:tcPr>
            <w:tcW w:w="1984" w:type="dxa"/>
          </w:tcPr>
          <w:p w:rsidR="00CA37A0" w:rsidRPr="00824DE8" w:rsidRDefault="00CA37A0" w:rsidP="00A269FD">
            <w:pPr>
              <w:spacing w:before="60" w:after="60"/>
              <w:jc w:val="center"/>
            </w:pPr>
            <w:r w:rsidRPr="00BC777F">
              <w:t>-</w:t>
            </w:r>
          </w:p>
        </w:tc>
        <w:tc>
          <w:tcPr>
            <w:tcW w:w="1985" w:type="dxa"/>
          </w:tcPr>
          <w:p w:rsidR="00CA37A0" w:rsidRDefault="00CA37A0" w:rsidP="00A269FD">
            <w:pPr>
              <w:spacing w:before="60" w:after="60"/>
            </w:pPr>
            <w:r w:rsidRPr="00AD57DF">
              <w:t xml:space="preserve">Heavy metal </w:t>
            </w:r>
          </w:p>
        </w:tc>
      </w:tr>
      <w:tr w:rsidR="00CA37A0" w:rsidRPr="00890BA7" w:rsidTr="00A269FD">
        <w:trPr>
          <w:cantSplit/>
          <w:jc w:val="center"/>
        </w:trPr>
        <w:tc>
          <w:tcPr>
            <w:tcW w:w="2972" w:type="dxa"/>
            <w:vAlign w:val="center"/>
          </w:tcPr>
          <w:p w:rsidR="00CA37A0" w:rsidRPr="00824DE8" w:rsidRDefault="00CA37A0" w:rsidP="00A269FD">
            <w:pPr>
              <w:spacing w:before="60" w:after="60"/>
            </w:pPr>
            <w:r>
              <w:t>Iron (µg/l)</w:t>
            </w:r>
          </w:p>
        </w:tc>
        <w:tc>
          <w:tcPr>
            <w:tcW w:w="1985" w:type="dxa"/>
            <w:vAlign w:val="center"/>
          </w:tcPr>
          <w:p w:rsidR="00CA37A0" w:rsidRPr="00824DE8" w:rsidRDefault="00CA37A0" w:rsidP="00A269FD">
            <w:pPr>
              <w:spacing w:before="60" w:after="60"/>
              <w:jc w:val="center"/>
            </w:pPr>
            <w:r>
              <w:t>1000</w:t>
            </w:r>
          </w:p>
        </w:tc>
        <w:tc>
          <w:tcPr>
            <w:tcW w:w="1984" w:type="dxa"/>
          </w:tcPr>
          <w:p w:rsidR="00CA37A0" w:rsidRPr="00824DE8" w:rsidRDefault="00CA37A0" w:rsidP="00A269FD">
            <w:pPr>
              <w:spacing w:before="60" w:after="60"/>
              <w:jc w:val="center"/>
            </w:pPr>
            <w:r w:rsidRPr="00BC777F">
              <w:t>-</w:t>
            </w:r>
          </w:p>
        </w:tc>
        <w:tc>
          <w:tcPr>
            <w:tcW w:w="1985" w:type="dxa"/>
          </w:tcPr>
          <w:p w:rsidR="00CA37A0" w:rsidRDefault="00CA37A0" w:rsidP="00A269FD">
            <w:pPr>
              <w:spacing w:before="60" w:after="60"/>
            </w:pPr>
            <w:r w:rsidRPr="00AD57DF">
              <w:t xml:space="preserve">Heavy metal </w:t>
            </w:r>
          </w:p>
        </w:tc>
      </w:tr>
      <w:tr w:rsidR="00CA37A0" w:rsidRPr="00890BA7" w:rsidTr="00A269FD">
        <w:trPr>
          <w:cantSplit/>
          <w:jc w:val="center"/>
        </w:trPr>
        <w:tc>
          <w:tcPr>
            <w:tcW w:w="2972" w:type="dxa"/>
            <w:vAlign w:val="center"/>
          </w:tcPr>
          <w:p w:rsidR="00CA37A0" w:rsidRPr="00824DE8" w:rsidRDefault="00CA37A0" w:rsidP="00A269FD">
            <w:pPr>
              <w:spacing w:before="60" w:after="60"/>
            </w:pPr>
            <w:r>
              <w:t>Nickel (µg/l)</w:t>
            </w:r>
          </w:p>
        </w:tc>
        <w:tc>
          <w:tcPr>
            <w:tcW w:w="1985" w:type="dxa"/>
            <w:vAlign w:val="center"/>
          </w:tcPr>
          <w:p w:rsidR="00CA37A0" w:rsidRPr="00824DE8" w:rsidRDefault="00CA37A0" w:rsidP="00A269FD">
            <w:pPr>
              <w:spacing w:before="60" w:after="60"/>
              <w:jc w:val="center"/>
            </w:pPr>
            <w:r>
              <w:t>EQS will be site specific</w:t>
            </w:r>
          </w:p>
        </w:tc>
        <w:tc>
          <w:tcPr>
            <w:tcW w:w="1984" w:type="dxa"/>
          </w:tcPr>
          <w:p w:rsidR="00CA37A0" w:rsidRPr="00824DE8" w:rsidRDefault="00CA37A0" w:rsidP="00A269FD">
            <w:pPr>
              <w:spacing w:before="60" w:after="60"/>
              <w:jc w:val="center"/>
            </w:pPr>
            <w:r w:rsidRPr="00BC777F">
              <w:t>-</w:t>
            </w:r>
          </w:p>
        </w:tc>
        <w:tc>
          <w:tcPr>
            <w:tcW w:w="1985" w:type="dxa"/>
          </w:tcPr>
          <w:p w:rsidR="00CA37A0" w:rsidRDefault="00CA37A0" w:rsidP="00A269FD">
            <w:pPr>
              <w:spacing w:before="60" w:after="60"/>
            </w:pPr>
            <w:r w:rsidRPr="00AD57DF">
              <w:t xml:space="preserve">Heavy metal </w:t>
            </w:r>
          </w:p>
        </w:tc>
      </w:tr>
      <w:tr w:rsidR="00CA37A0" w:rsidRPr="00890BA7" w:rsidTr="00A269FD">
        <w:trPr>
          <w:cantSplit/>
          <w:jc w:val="center"/>
        </w:trPr>
        <w:tc>
          <w:tcPr>
            <w:tcW w:w="2972" w:type="dxa"/>
            <w:vAlign w:val="center"/>
          </w:tcPr>
          <w:p w:rsidR="00CA37A0" w:rsidRPr="00824DE8" w:rsidRDefault="00CA37A0" w:rsidP="00A269FD">
            <w:pPr>
              <w:spacing w:before="60" w:after="60"/>
            </w:pPr>
            <w:r>
              <w:t>Lead (µg/l)</w:t>
            </w:r>
          </w:p>
        </w:tc>
        <w:tc>
          <w:tcPr>
            <w:tcW w:w="1985" w:type="dxa"/>
            <w:vAlign w:val="center"/>
          </w:tcPr>
          <w:p w:rsidR="00CA37A0" w:rsidRPr="00824DE8" w:rsidRDefault="00CA37A0" w:rsidP="00A269FD">
            <w:pPr>
              <w:spacing w:before="60" w:after="60"/>
              <w:jc w:val="center"/>
            </w:pPr>
            <w:r>
              <w:t>1.2</w:t>
            </w:r>
          </w:p>
        </w:tc>
        <w:tc>
          <w:tcPr>
            <w:tcW w:w="1984" w:type="dxa"/>
          </w:tcPr>
          <w:p w:rsidR="00CA37A0" w:rsidRPr="00824DE8" w:rsidRDefault="00CA37A0" w:rsidP="00A269FD">
            <w:pPr>
              <w:spacing w:before="60" w:after="60"/>
              <w:jc w:val="center"/>
            </w:pPr>
            <w:r w:rsidRPr="00BC777F">
              <w:t>-</w:t>
            </w:r>
          </w:p>
        </w:tc>
        <w:tc>
          <w:tcPr>
            <w:tcW w:w="1985" w:type="dxa"/>
          </w:tcPr>
          <w:p w:rsidR="00CA37A0" w:rsidRDefault="00CA37A0" w:rsidP="00A269FD">
            <w:pPr>
              <w:spacing w:before="60" w:after="60"/>
            </w:pPr>
            <w:r w:rsidRPr="00AD57DF">
              <w:t xml:space="preserve">Heavy metal </w:t>
            </w:r>
          </w:p>
        </w:tc>
      </w:tr>
      <w:tr w:rsidR="00CA37A0" w:rsidRPr="00890BA7" w:rsidTr="00A269FD">
        <w:trPr>
          <w:cantSplit/>
          <w:jc w:val="center"/>
        </w:trPr>
        <w:tc>
          <w:tcPr>
            <w:tcW w:w="2972" w:type="dxa"/>
            <w:vAlign w:val="center"/>
          </w:tcPr>
          <w:p w:rsidR="00CA37A0" w:rsidRPr="00824DE8" w:rsidRDefault="00CA37A0" w:rsidP="00A269FD">
            <w:pPr>
              <w:spacing w:before="60" w:after="60"/>
            </w:pPr>
            <w:r>
              <w:t>Manganese (µg/l)</w:t>
            </w:r>
          </w:p>
        </w:tc>
        <w:tc>
          <w:tcPr>
            <w:tcW w:w="1985" w:type="dxa"/>
            <w:vAlign w:val="center"/>
          </w:tcPr>
          <w:p w:rsidR="00CA37A0" w:rsidRPr="00824DE8" w:rsidRDefault="00CA37A0" w:rsidP="00A269FD">
            <w:pPr>
              <w:spacing w:before="60" w:after="60"/>
              <w:jc w:val="center"/>
            </w:pPr>
            <w:r>
              <w:t>EQS will be site specific</w:t>
            </w:r>
          </w:p>
        </w:tc>
        <w:tc>
          <w:tcPr>
            <w:tcW w:w="1984" w:type="dxa"/>
          </w:tcPr>
          <w:p w:rsidR="00CA37A0" w:rsidRPr="00824DE8" w:rsidRDefault="00CA37A0" w:rsidP="00A269FD">
            <w:pPr>
              <w:spacing w:before="60" w:after="60"/>
              <w:jc w:val="center"/>
            </w:pPr>
            <w:r w:rsidRPr="00BC777F">
              <w:t>-</w:t>
            </w:r>
          </w:p>
        </w:tc>
        <w:tc>
          <w:tcPr>
            <w:tcW w:w="1985" w:type="dxa"/>
          </w:tcPr>
          <w:p w:rsidR="00CA37A0" w:rsidRDefault="00CA37A0" w:rsidP="00A269FD">
            <w:pPr>
              <w:spacing w:before="60" w:after="60"/>
            </w:pPr>
            <w:r w:rsidRPr="00AD57DF">
              <w:t xml:space="preserve">Heavy metal </w:t>
            </w:r>
          </w:p>
        </w:tc>
      </w:tr>
      <w:tr w:rsidR="00CA37A0" w:rsidRPr="00890BA7" w:rsidTr="00A269FD">
        <w:trPr>
          <w:cantSplit/>
          <w:jc w:val="center"/>
        </w:trPr>
        <w:tc>
          <w:tcPr>
            <w:tcW w:w="2972" w:type="dxa"/>
            <w:vAlign w:val="center"/>
          </w:tcPr>
          <w:p w:rsidR="00CA37A0" w:rsidRPr="00824DE8" w:rsidRDefault="00CA37A0" w:rsidP="00A269FD">
            <w:pPr>
              <w:spacing w:before="60" w:after="60"/>
            </w:pPr>
            <w:r>
              <w:t>Mercury (µg/l)</w:t>
            </w:r>
          </w:p>
        </w:tc>
        <w:tc>
          <w:tcPr>
            <w:tcW w:w="1985" w:type="dxa"/>
            <w:vAlign w:val="center"/>
          </w:tcPr>
          <w:p w:rsidR="00CA37A0" w:rsidRPr="00824DE8" w:rsidRDefault="00CA37A0" w:rsidP="00A269FD">
            <w:pPr>
              <w:spacing w:before="60" w:after="60"/>
              <w:jc w:val="center"/>
            </w:pPr>
            <w:r w:rsidRPr="00BC777F">
              <w:t>-</w:t>
            </w:r>
          </w:p>
        </w:tc>
        <w:tc>
          <w:tcPr>
            <w:tcW w:w="1984" w:type="dxa"/>
          </w:tcPr>
          <w:p w:rsidR="00CA37A0" w:rsidRPr="00824DE8" w:rsidRDefault="00CA37A0" w:rsidP="00A269FD">
            <w:pPr>
              <w:spacing w:before="60" w:after="60"/>
              <w:jc w:val="center"/>
            </w:pPr>
            <w:r>
              <w:t>0.07</w:t>
            </w:r>
          </w:p>
        </w:tc>
        <w:tc>
          <w:tcPr>
            <w:tcW w:w="1985" w:type="dxa"/>
          </w:tcPr>
          <w:p w:rsidR="00CA37A0" w:rsidRDefault="00CA37A0" w:rsidP="00A269FD">
            <w:pPr>
              <w:spacing w:before="60" w:after="60"/>
            </w:pPr>
            <w:r w:rsidRPr="00AD57DF">
              <w:t xml:space="preserve">Heavy metal </w:t>
            </w:r>
          </w:p>
        </w:tc>
      </w:tr>
      <w:tr w:rsidR="00CA37A0" w:rsidRPr="00890BA7" w:rsidTr="00A269FD">
        <w:trPr>
          <w:cantSplit/>
          <w:jc w:val="center"/>
        </w:trPr>
        <w:tc>
          <w:tcPr>
            <w:tcW w:w="2972" w:type="dxa"/>
            <w:vAlign w:val="center"/>
          </w:tcPr>
          <w:p w:rsidR="00CA37A0" w:rsidRPr="00824DE8" w:rsidRDefault="00CA37A0" w:rsidP="00A269FD">
            <w:pPr>
              <w:spacing w:before="60" w:after="60"/>
            </w:pPr>
            <w:r>
              <w:t>Zinc (µg/l)</w:t>
            </w:r>
          </w:p>
        </w:tc>
        <w:tc>
          <w:tcPr>
            <w:tcW w:w="1985" w:type="dxa"/>
            <w:vAlign w:val="center"/>
          </w:tcPr>
          <w:p w:rsidR="00CA37A0" w:rsidRPr="00824DE8" w:rsidRDefault="00CA37A0" w:rsidP="00A269FD">
            <w:pPr>
              <w:spacing w:before="60" w:after="60"/>
              <w:jc w:val="center"/>
            </w:pPr>
            <w:r>
              <w:t>EQS will be site specific</w:t>
            </w:r>
          </w:p>
        </w:tc>
        <w:tc>
          <w:tcPr>
            <w:tcW w:w="1984" w:type="dxa"/>
          </w:tcPr>
          <w:p w:rsidR="00CA37A0" w:rsidRPr="00824DE8" w:rsidRDefault="00CA37A0" w:rsidP="00A269FD">
            <w:pPr>
              <w:spacing w:before="60" w:after="60"/>
              <w:jc w:val="center"/>
            </w:pPr>
            <w:r w:rsidRPr="00BC777F">
              <w:t>-</w:t>
            </w:r>
          </w:p>
        </w:tc>
        <w:tc>
          <w:tcPr>
            <w:tcW w:w="1985" w:type="dxa"/>
          </w:tcPr>
          <w:p w:rsidR="00CA37A0" w:rsidRDefault="00CA37A0" w:rsidP="00A269FD">
            <w:pPr>
              <w:spacing w:before="60" w:after="60"/>
            </w:pPr>
            <w:r w:rsidRPr="00AD57DF">
              <w:t xml:space="preserve">Heavy metal </w:t>
            </w:r>
          </w:p>
        </w:tc>
      </w:tr>
      <w:tr w:rsidR="00CA37A0" w:rsidRPr="00890BA7" w:rsidTr="00A269FD">
        <w:trPr>
          <w:cantSplit/>
          <w:jc w:val="center"/>
        </w:trPr>
        <w:tc>
          <w:tcPr>
            <w:tcW w:w="2972" w:type="dxa"/>
            <w:vAlign w:val="center"/>
          </w:tcPr>
          <w:p w:rsidR="00CA37A0" w:rsidRPr="00824DE8" w:rsidRDefault="00CA37A0" w:rsidP="00A269FD">
            <w:pPr>
              <w:spacing w:before="60" w:after="60"/>
            </w:pPr>
            <w:r w:rsidRPr="00824DE8">
              <w:t>Benzo(a)pyrene</w:t>
            </w:r>
            <w:r>
              <w:t xml:space="preserve"> (used as an indicator for poly aromatic hydrocarbons)</w:t>
            </w:r>
          </w:p>
        </w:tc>
        <w:tc>
          <w:tcPr>
            <w:tcW w:w="1985" w:type="dxa"/>
          </w:tcPr>
          <w:p w:rsidR="00CA37A0" w:rsidRPr="00824DE8" w:rsidRDefault="00CA37A0" w:rsidP="00A269FD">
            <w:pPr>
              <w:spacing w:before="60" w:after="60"/>
              <w:jc w:val="center"/>
            </w:pPr>
            <w:r w:rsidRPr="0043386A">
              <w:t>0.00017</w:t>
            </w:r>
          </w:p>
        </w:tc>
        <w:tc>
          <w:tcPr>
            <w:tcW w:w="1984" w:type="dxa"/>
          </w:tcPr>
          <w:p w:rsidR="00CA37A0" w:rsidRPr="00824DE8" w:rsidRDefault="00CA37A0" w:rsidP="00A269FD">
            <w:pPr>
              <w:spacing w:before="60" w:after="60"/>
              <w:jc w:val="center"/>
            </w:pPr>
            <w:r w:rsidRPr="0043386A">
              <w:t>0.27</w:t>
            </w:r>
          </w:p>
        </w:tc>
        <w:tc>
          <w:tcPr>
            <w:tcW w:w="1985" w:type="dxa"/>
            <w:vAlign w:val="center"/>
          </w:tcPr>
          <w:p w:rsidR="00CA37A0" w:rsidRPr="00824DE8" w:rsidRDefault="00CA37A0" w:rsidP="00A269FD">
            <w:pPr>
              <w:spacing w:before="60" w:after="60"/>
            </w:pPr>
            <w:r>
              <w:t>Chemical</w:t>
            </w:r>
          </w:p>
        </w:tc>
      </w:tr>
      <w:tr w:rsidR="00CA37A0" w:rsidRPr="00890BA7" w:rsidTr="00A269FD">
        <w:trPr>
          <w:cantSplit/>
          <w:jc w:val="center"/>
        </w:trPr>
        <w:tc>
          <w:tcPr>
            <w:tcW w:w="2972" w:type="dxa"/>
            <w:vAlign w:val="center"/>
          </w:tcPr>
          <w:p w:rsidR="00CA37A0" w:rsidRDefault="00CA37A0" w:rsidP="00A269FD">
            <w:pPr>
              <w:spacing w:before="60" w:after="60"/>
            </w:pPr>
            <w:r>
              <w:t>PCBs</w:t>
            </w:r>
          </w:p>
        </w:tc>
        <w:tc>
          <w:tcPr>
            <w:tcW w:w="1985" w:type="dxa"/>
            <w:vAlign w:val="center"/>
          </w:tcPr>
          <w:p w:rsidR="00CA37A0" w:rsidRDefault="00CA37A0" w:rsidP="00A269FD">
            <w:pPr>
              <w:spacing w:before="60" w:after="60"/>
              <w:jc w:val="center"/>
            </w:pPr>
          </w:p>
        </w:tc>
        <w:tc>
          <w:tcPr>
            <w:tcW w:w="1984" w:type="dxa"/>
            <w:vAlign w:val="center"/>
          </w:tcPr>
          <w:p w:rsidR="00CA37A0" w:rsidRPr="00824DE8" w:rsidRDefault="00CA37A0" w:rsidP="00A269FD">
            <w:pPr>
              <w:spacing w:before="60" w:after="60"/>
              <w:jc w:val="center"/>
            </w:pPr>
            <w:r w:rsidRPr="004F514A">
              <w:t>15 ng/l</w:t>
            </w:r>
          </w:p>
        </w:tc>
        <w:tc>
          <w:tcPr>
            <w:tcW w:w="1985" w:type="dxa"/>
          </w:tcPr>
          <w:p w:rsidR="00CA37A0" w:rsidRPr="00970A31" w:rsidRDefault="00CA37A0" w:rsidP="00A269FD">
            <w:pPr>
              <w:spacing w:before="60" w:after="60"/>
            </w:pPr>
            <w:r>
              <w:t>Chemical</w:t>
            </w:r>
          </w:p>
        </w:tc>
      </w:tr>
      <w:tr w:rsidR="00CA37A0" w:rsidRPr="00890BA7" w:rsidTr="00A269FD">
        <w:trPr>
          <w:cantSplit/>
          <w:jc w:val="center"/>
        </w:trPr>
        <w:tc>
          <w:tcPr>
            <w:tcW w:w="2972" w:type="dxa"/>
            <w:vAlign w:val="center"/>
          </w:tcPr>
          <w:p w:rsidR="00CA37A0" w:rsidRPr="00824DE8" w:rsidRDefault="00CA37A0" w:rsidP="00A269FD">
            <w:pPr>
              <w:spacing w:before="60" w:after="60"/>
            </w:pPr>
            <w:r>
              <w:t>Pesticides</w:t>
            </w:r>
          </w:p>
        </w:tc>
        <w:tc>
          <w:tcPr>
            <w:tcW w:w="1985" w:type="dxa"/>
            <w:vAlign w:val="center"/>
          </w:tcPr>
          <w:p w:rsidR="00CA37A0" w:rsidRPr="00824DE8" w:rsidRDefault="00CA37A0" w:rsidP="00A269FD">
            <w:pPr>
              <w:spacing w:before="60" w:after="60"/>
              <w:jc w:val="center"/>
            </w:pPr>
            <w:r>
              <w:t>The EQS will be specific for the type of pesticide</w:t>
            </w:r>
          </w:p>
        </w:tc>
        <w:tc>
          <w:tcPr>
            <w:tcW w:w="1984" w:type="dxa"/>
            <w:vAlign w:val="center"/>
          </w:tcPr>
          <w:p w:rsidR="00CA37A0" w:rsidRPr="00824DE8" w:rsidRDefault="00CA37A0" w:rsidP="00A269FD">
            <w:pPr>
              <w:spacing w:before="60" w:after="60"/>
              <w:jc w:val="center"/>
            </w:pPr>
          </w:p>
        </w:tc>
        <w:tc>
          <w:tcPr>
            <w:tcW w:w="1985" w:type="dxa"/>
          </w:tcPr>
          <w:p w:rsidR="00CA37A0" w:rsidRDefault="00CA37A0" w:rsidP="00A269FD">
            <w:pPr>
              <w:spacing w:before="60" w:after="60"/>
            </w:pPr>
            <w:r w:rsidRPr="00970A31">
              <w:t>Chemical</w:t>
            </w:r>
          </w:p>
        </w:tc>
      </w:tr>
      <w:tr w:rsidR="00CA37A0" w:rsidRPr="00890BA7" w:rsidTr="00A269FD">
        <w:trPr>
          <w:cantSplit/>
          <w:jc w:val="center"/>
        </w:trPr>
        <w:tc>
          <w:tcPr>
            <w:tcW w:w="2972" w:type="dxa"/>
            <w:vAlign w:val="center"/>
          </w:tcPr>
          <w:p w:rsidR="00CA37A0" w:rsidRPr="00824DE8" w:rsidRDefault="00CA37A0" w:rsidP="00A269FD">
            <w:pPr>
              <w:spacing w:before="60" w:after="60"/>
            </w:pPr>
            <w:r>
              <w:t>Solvents</w:t>
            </w:r>
          </w:p>
        </w:tc>
        <w:tc>
          <w:tcPr>
            <w:tcW w:w="1985" w:type="dxa"/>
            <w:vAlign w:val="center"/>
          </w:tcPr>
          <w:p w:rsidR="00CA37A0" w:rsidRPr="00824DE8" w:rsidRDefault="00CA37A0" w:rsidP="00A269FD">
            <w:pPr>
              <w:spacing w:before="60" w:after="60"/>
              <w:jc w:val="center"/>
            </w:pPr>
            <w:r w:rsidRPr="00C11D54">
              <w:t>The EQS will be specific for the type of solvent</w:t>
            </w:r>
          </w:p>
        </w:tc>
        <w:tc>
          <w:tcPr>
            <w:tcW w:w="1984" w:type="dxa"/>
            <w:vAlign w:val="center"/>
          </w:tcPr>
          <w:p w:rsidR="00CA37A0" w:rsidRPr="00824DE8" w:rsidRDefault="00CA37A0" w:rsidP="00A269FD">
            <w:pPr>
              <w:spacing w:before="60" w:after="60"/>
              <w:jc w:val="center"/>
            </w:pPr>
          </w:p>
        </w:tc>
        <w:tc>
          <w:tcPr>
            <w:tcW w:w="1985" w:type="dxa"/>
          </w:tcPr>
          <w:p w:rsidR="00CA37A0" w:rsidRDefault="00CA37A0" w:rsidP="00A269FD">
            <w:pPr>
              <w:spacing w:before="60" w:after="60"/>
            </w:pPr>
            <w:r w:rsidRPr="00970A31">
              <w:t>Chemical</w:t>
            </w:r>
          </w:p>
        </w:tc>
      </w:tr>
      <w:tr w:rsidR="00CA37A0" w:rsidRPr="00890BA7" w:rsidTr="00A269FD">
        <w:trPr>
          <w:cantSplit/>
          <w:jc w:val="center"/>
        </w:trPr>
        <w:tc>
          <w:tcPr>
            <w:tcW w:w="2972" w:type="dxa"/>
            <w:vAlign w:val="center"/>
          </w:tcPr>
          <w:p w:rsidR="00CA37A0" w:rsidRPr="00824DE8" w:rsidRDefault="00CA37A0" w:rsidP="00A269FD">
            <w:pPr>
              <w:spacing w:before="60" w:after="60"/>
            </w:pPr>
            <w:r>
              <w:t>Surfactants</w:t>
            </w:r>
          </w:p>
        </w:tc>
        <w:tc>
          <w:tcPr>
            <w:tcW w:w="1985" w:type="dxa"/>
            <w:vAlign w:val="center"/>
          </w:tcPr>
          <w:p w:rsidR="00CA37A0" w:rsidRPr="00824DE8" w:rsidRDefault="00CA37A0" w:rsidP="00A269FD">
            <w:pPr>
              <w:spacing w:before="60" w:after="60"/>
              <w:jc w:val="center"/>
            </w:pPr>
            <w:r w:rsidRPr="00C11D54">
              <w:t>The EQS will be specific for the type of surfactant</w:t>
            </w:r>
          </w:p>
        </w:tc>
        <w:tc>
          <w:tcPr>
            <w:tcW w:w="1984" w:type="dxa"/>
            <w:vAlign w:val="center"/>
          </w:tcPr>
          <w:p w:rsidR="00CA37A0" w:rsidRPr="00824DE8" w:rsidRDefault="00CA37A0" w:rsidP="00A269FD">
            <w:pPr>
              <w:spacing w:before="60" w:after="60"/>
              <w:jc w:val="center"/>
            </w:pPr>
          </w:p>
        </w:tc>
        <w:tc>
          <w:tcPr>
            <w:tcW w:w="1985" w:type="dxa"/>
          </w:tcPr>
          <w:p w:rsidR="00CA37A0" w:rsidRDefault="00CA37A0" w:rsidP="00A269FD">
            <w:pPr>
              <w:spacing w:before="60" w:after="60"/>
            </w:pPr>
            <w:r w:rsidRPr="00970A31">
              <w:t>Chemical</w:t>
            </w:r>
          </w:p>
        </w:tc>
      </w:tr>
    </w:tbl>
    <w:p w:rsidR="00CA37A0" w:rsidRDefault="008E2776" w:rsidP="00CA37A0">
      <w:r>
        <w:rPr>
          <w:noProof/>
          <w:lang w:eastAsia="en-GB"/>
        </w:rPr>
        <mc:AlternateContent>
          <mc:Choice Requires="wps">
            <w:drawing>
              <wp:anchor distT="0" distB="0" distL="114300" distR="114300" simplePos="0" relativeHeight="251670528" behindDoc="0" locked="0" layoutInCell="1" allowOverlap="1" wp14:anchorId="3BA23C78" wp14:editId="03FAE937">
                <wp:simplePos x="0" y="0"/>
                <wp:positionH relativeFrom="margin">
                  <wp:posOffset>-428625</wp:posOffset>
                </wp:positionH>
                <wp:positionV relativeFrom="paragraph">
                  <wp:posOffset>89535</wp:posOffset>
                </wp:positionV>
                <wp:extent cx="6400800" cy="27146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400800" cy="2714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98D056" id="Rounded Rectangle 7" o:spid="_x0000_s1026" style="position:absolute;margin-left:-33.75pt;margin-top:7.05pt;width:7in;height:213.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" filled="f" strokecolor="black [3213]" strokeweight="2pt">
                <w10:wrap anchorx="margin"/>
              </v:roundrect>
            </w:pict>
          </mc:Fallback>
        </mc:AlternateContent>
      </w:r>
    </w:p>
    <w:p w:rsidR="00F96911" w:rsidRDefault="00F96911" w:rsidP="00CA37A0"/>
    <w:p w:rsidR="00F96911" w:rsidRDefault="00F96911" w:rsidP="00CA37A0"/>
    <w:p w:rsidR="00F96911" w:rsidRDefault="00F96911" w:rsidP="00CA37A0"/>
    <w:p w:rsidR="00F96911" w:rsidRDefault="00F96911" w:rsidP="00CA37A0"/>
    <w:p w:rsidR="00F96911" w:rsidRDefault="00F96911" w:rsidP="00CA37A0"/>
    <w:p w:rsidR="00F96911" w:rsidRDefault="00F96911" w:rsidP="00CA37A0"/>
    <w:p w:rsidR="00F96911" w:rsidRDefault="00F96911" w:rsidP="00CA37A0"/>
    <w:p w:rsidR="00F96911" w:rsidRDefault="00F96911" w:rsidP="00CA37A0"/>
    <w:p w:rsidR="00B60F39" w:rsidRPr="00B60F39" w:rsidRDefault="00B60F39" w:rsidP="00B60F39">
      <w:pPr>
        <w:rPr>
          <w:b/>
        </w:rPr>
      </w:pPr>
      <w:r>
        <w:rPr>
          <w:b/>
        </w:rPr>
        <w:lastRenderedPageBreak/>
        <w:t>Question 3</w:t>
      </w:r>
    </w:p>
    <w:p w:rsidR="009C7B1D" w:rsidRPr="008E2776" w:rsidRDefault="008E2776" w:rsidP="00B60F39">
      <w:r w:rsidRPr="008E2776">
        <w:t xml:space="preserve">Manx coastal waters receive a range of potentially polluting substances which are discharged from </w:t>
      </w:r>
      <w:r w:rsidR="00B91529">
        <w:t>inland waters</w:t>
      </w:r>
      <w:r w:rsidRPr="008E2776">
        <w:t xml:space="preserve">; including heavy metals and chemicals which could impact shellfish populations and ultimately human health.  Please provide your views on the proposed EQS </w:t>
      </w:r>
      <w:r>
        <w:t>for coastal waters detailed in T</w:t>
      </w:r>
      <w:r w:rsidRPr="008E2776">
        <w:t>able 2.</w:t>
      </w:r>
      <w:r w:rsidRPr="00B60F39">
        <w:rPr>
          <w:sz w:val="26"/>
          <w:szCs w:val="26"/>
        </w:rPr>
        <w:t xml:space="preserve">  </w:t>
      </w:r>
    </w:p>
    <w:p w:rsidR="008E2776" w:rsidRDefault="008E2776" w:rsidP="008E2776">
      <w:r w:rsidRPr="008E2776">
        <w:t>More information can be found in</w:t>
      </w:r>
      <w:r w:rsidR="00BE17CF">
        <w:t xml:space="preserve"> Section 4.10 in</w:t>
      </w:r>
      <w:r w:rsidRPr="008E2776">
        <w:t xml:space="preserve"> the </w:t>
      </w:r>
      <w:r w:rsidR="00BE17CF">
        <w:t>APEM</w:t>
      </w:r>
      <w:r w:rsidRPr="008E2776">
        <w:t xml:space="preserve"> report on </w:t>
      </w:r>
      <w:r w:rsidR="00BE17CF">
        <w:t>p</w:t>
      </w:r>
      <w:r w:rsidRPr="008E2776">
        <w:t>ropose</w:t>
      </w:r>
      <w:r>
        <w:t>d EQS for the Isle of Man;</w:t>
      </w:r>
      <w:r w:rsidRPr="008E2776">
        <w:t> </w:t>
      </w:r>
      <w:hyperlink r:id="rId16" w:history="1">
        <w:r w:rsidR="00B91529" w:rsidRPr="00356CAB">
          <w:rPr>
            <w:rStyle w:val="Hyperlink"/>
          </w:rPr>
          <w:t>https://www.gov.im/media/1369698/proposed-eqs-apem-report.pdf</w:t>
        </w:r>
      </w:hyperlink>
      <w:r w:rsidR="00B91529">
        <w:t xml:space="preserve"> </w:t>
      </w:r>
    </w:p>
    <w:p w:rsidR="00653E91" w:rsidRDefault="00653E91" w:rsidP="00653E91">
      <w:pPr>
        <w:pStyle w:val="Caption"/>
        <w:keepNext/>
      </w:pPr>
      <w:r>
        <w:t xml:space="preserve">Table </w:t>
      </w:r>
      <w:fldSimple w:instr=" SEQ Table \* ARABIC ">
        <w:r w:rsidR="004B5D93">
          <w:rPr>
            <w:noProof/>
          </w:rPr>
          <w:t>2</w:t>
        </w:r>
      </w:fldSimple>
      <w:r>
        <w:t xml:space="preserve">. </w:t>
      </w:r>
      <w:r w:rsidRPr="004D3C8E">
        <w:t>EQS for coastal water (in µg/l unless otherwise stated)</w:t>
      </w:r>
    </w:p>
    <w:tbl>
      <w:tblPr>
        <w:tblStyle w:val="TableGrid"/>
        <w:tblW w:w="9776" w:type="dxa"/>
        <w:jc w:val="center"/>
        <w:tblLayout w:type="fixed"/>
        <w:tblLook w:val="04A0" w:firstRow="1" w:lastRow="0" w:firstColumn="1" w:lastColumn="0" w:noHBand="0" w:noVBand="1"/>
      </w:tblPr>
      <w:tblGrid>
        <w:gridCol w:w="2405"/>
        <w:gridCol w:w="992"/>
        <w:gridCol w:w="1701"/>
        <w:gridCol w:w="1134"/>
        <w:gridCol w:w="993"/>
        <w:gridCol w:w="2551"/>
      </w:tblGrid>
      <w:tr w:rsidR="00CA37A0" w:rsidRPr="00890BA7" w:rsidTr="00CE3741">
        <w:trPr>
          <w:cantSplit/>
          <w:tblHeader/>
          <w:jc w:val="center"/>
        </w:trPr>
        <w:tc>
          <w:tcPr>
            <w:tcW w:w="2405" w:type="dxa"/>
            <w:shd w:val="clear" w:color="auto" w:fill="00B0F0"/>
            <w:vAlign w:val="center"/>
          </w:tcPr>
          <w:p w:rsidR="00CA37A0" w:rsidRPr="00824DE8" w:rsidRDefault="00CA37A0" w:rsidP="00A269FD">
            <w:pPr>
              <w:spacing w:before="60" w:after="60"/>
              <w:jc w:val="center"/>
              <w:rPr>
                <w:b/>
                <w:bCs/>
                <w:color w:val="FFFFFF" w:themeColor="background1"/>
              </w:rPr>
            </w:pPr>
            <w:r w:rsidRPr="00824DE8">
              <w:rPr>
                <w:b/>
                <w:bCs/>
                <w:color w:val="FFFFFF" w:themeColor="background1"/>
              </w:rPr>
              <w:t>Parameter</w:t>
            </w:r>
          </w:p>
        </w:tc>
        <w:tc>
          <w:tcPr>
            <w:tcW w:w="992" w:type="dxa"/>
            <w:shd w:val="clear" w:color="auto" w:fill="00B0F0"/>
            <w:vAlign w:val="center"/>
          </w:tcPr>
          <w:p w:rsidR="00CA37A0" w:rsidRPr="00824DE8" w:rsidRDefault="00CA37A0" w:rsidP="00A269FD">
            <w:pPr>
              <w:spacing w:before="60" w:after="60"/>
              <w:jc w:val="center"/>
              <w:rPr>
                <w:b/>
                <w:bCs/>
                <w:color w:val="FFFFFF" w:themeColor="background1"/>
              </w:rPr>
            </w:pPr>
            <w:r w:rsidRPr="00824DE8">
              <w:rPr>
                <w:b/>
                <w:bCs/>
                <w:color w:val="FFFFFF" w:themeColor="background1"/>
              </w:rPr>
              <w:t>Mean value</w:t>
            </w:r>
          </w:p>
        </w:tc>
        <w:tc>
          <w:tcPr>
            <w:tcW w:w="1701" w:type="dxa"/>
            <w:shd w:val="clear" w:color="auto" w:fill="00B0F0"/>
            <w:vAlign w:val="center"/>
          </w:tcPr>
          <w:p w:rsidR="00CA37A0" w:rsidRPr="00CE3741" w:rsidRDefault="00CA37A0" w:rsidP="00A269FD">
            <w:pPr>
              <w:spacing w:before="60" w:after="60"/>
              <w:jc w:val="center"/>
              <w:rPr>
                <w:b/>
                <w:bCs/>
                <w:color w:val="FFFFFF" w:themeColor="background1"/>
              </w:rPr>
            </w:pPr>
            <w:r w:rsidRPr="00CE3741">
              <w:rPr>
                <w:b/>
                <w:bCs/>
                <w:color w:val="FFFFFF" w:themeColor="background1"/>
              </w:rPr>
              <w:t>Maximum concentration*</w:t>
            </w:r>
          </w:p>
        </w:tc>
        <w:tc>
          <w:tcPr>
            <w:tcW w:w="1134" w:type="dxa"/>
            <w:shd w:val="clear" w:color="auto" w:fill="00B0F0"/>
            <w:vAlign w:val="center"/>
          </w:tcPr>
          <w:p w:rsidR="00CA37A0" w:rsidRPr="004232E7" w:rsidRDefault="00CA37A0" w:rsidP="00A269FD">
            <w:pPr>
              <w:spacing w:before="60" w:after="60"/>
              <w:jc w:val="center"/>
              <w:rPr>
                <w:b/>
                <w:bCs/>
                <w:color w:val="FFFFFF" w:themeColor="background1"/>
              </w:rPr>
            </w:pPr>
            <w:r w:rsidRPr="004232E7">
              <w:rPr>
                <w:b/>
                <w:bCs/>
                <w:color w:val="FFFFFF" w:themeColor="background1"/>
              </w:rPr>
              <w:t>Sediment (</w:t>
            </w:r>
            <w:r w:rsidRPr="004232E7">
              <w:rPr>
                <w:b/>
                <w:bCs/>
                <w:color w:val="FFFFFF" w:themeColor="background1"/>
                <w:szCs w:val="22"/>
              </w:rPr>
              <w:t>µ</w:t>
            </w:r>
            <w:r w:rsidRPr="004232E7">
              <w:rPr>
                <w:b/>
                <w:bCs/>
                <w:color w:val="FFFFFF" w:themeColor="background1"/>
              </w:rPr>
              <w:t>g/kg)</w:t>
            </w:r>
          </w:p>
        </w:tc>
        <w:tc>
          <w:tcPr>
            <w:tcW w:w="993" w:type="dxa"/>
            <w:shd w:val="clear" w:color="auto" w:fill="00B0F0"/>
            <w:vAlign w:val="center"/>
          </w:tcPr>
          <w:p w:rsidR="00CA37A0" w:rsidRDefault="00CA37A0" w:rsidP="00A269FD">
            <w:pPr>
              <w:spacing w:before="60" w:after="60"/>
              <w:jc w:val="center"/>
              <w:rPr>
                <w:b/>
                <w:bCs/>
                <w:color w:val="FFFFFF" w:themeColor="background1"/>
              </w:rPr>
            </w:pPr>
            <w:r>
              <w:rPr>
                <w:b/>
                <w:bCs/>
                <w:color w:val="FFFFFF" w:themeColor="background1"/>
              </w:rPr>
              <w:t xml:space="preserve">Biota </w:t>
            </w:r>
            <w:r w:rsidRPr="004232E7">
              <w:rPr>
                <w:b/>
                <w:bCs/>
                <w:color w:val="FFFFFF" w:themeColor="background1"/>
              </w:rPr>
              <w:t>(</w:t>
            </w:r>
            <w:r w:rsidRPr="004232E7">
              <w:rPr>
                <w:b/>
                <w:bCs/>
                <w:color w:val="FFFFFF" w:themeColor="background1"/>
                <w:szCs w:val="22"/>
              </w:rPr>
              <w:t>µ</w:t>
            </w:r>
            <w:r w:rsidRPr="004232E7">
              <w:rPr>
                <w:b/>
                <w:bCs/>
                <w:color w:val="FFFFFF" w:themeColor="background1"/>
              </w:rPr>
              <w:t>g/kg)</w:t>
            </w:r>
          </w:p>
        </w:tc>
        <w:tc>
          <w:tcPr>
            <w:tcW w:w="2551" w:type="dxa"/>
            <w:shd w:val="clear" w:color="auto" w:fill="00B0F0"/>
            <w:vAlign w:val="center"/>
          </w:tcPr>
          <w:p w:rsidR="00CA37A0" w:rsidRDefault="00CA37A0" w:rsidP="00A269FD">
            <w:pPr>
              <w:spacing w:before="60" w:after="60"/>
              <w:jc w:val="center"/>
              <w:rPr>
                <w:b/>
                <w:bCs/>
                <w:color w:val="FFFFFF" w:themeColor="background1"/>
              </w:rPr>
            </w:pPr>
            <w:r>
              <w:rPr>
                <w:b/>
                <w:bCs/>
                <w:color w:val="FFFFFF" w:themeColor="background1"/>
              </w:rPr>
              <w:t>Reason for including</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Arsenic</w:t>
            </w:r>
          </w:p>
        </w:tc>
        <w:tc>
          <w:tcPr>
            <w:tcW w:w="992" w:type="dxa"/>
            <w:vAlign w:val="center"/>
          </w:tcPr>
          <w:p w:rsidR="00CA37A0" w:rsidRPr="00824DE8" w:rsidRDefault="00CA37A0" w:rsidP="00A269FD">
            <w:pPr>
              <w:spacing w:before="60" w:after="60"/>
              <w:jc w:val="center"/>
            </w:pPr>
            <w:r w:rsidRPr="00824DE8">
              <w:t>25</w:t>
            </w:r>
          </w:p>
        </w:tc>
        <w:tc>
          <w:tcPr>
            <w:tcW w:w="1701" w:type="dxa"/>
            <w:vAlign w:val="center"/>
          </w:tcPr>
          <w:p w:rsidR="00CA37A0" w:rsidRPr="00824DE8" w:rsidRDefault="00CA37A0" w:rsidP="00A269FD">
            <w:pPr>
              <w:spacing w:before="60" w:after="60"/>
              <w:jc w:val="center"/>
            </w:pPr>
            <w:r w:rsidRPr="00824DE8">
              <w:t>-</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 xml:space="preserve">May bioaccumulate in shellfish and fish </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Benzo(a)pyrene</w:t>
            </w:r>
            <w:r>
              <w:t xml:space="preserve"> (used as an indicator for poly aromatic hydrocarbons)</w:t>
            </w:r>
          </w:p>
        </w:tc>
        <w:tc>
          <w:tcPr>
            <w:tcW w:w="992" w:type="dxa"/>
            <w:vAlign w:val="center"/>
          </w:tcPr>
          <w:p w:rsidR="00CA37A0" w:rsidRPr="00824DE8" w:rsidRDefault="00CA37A0" w:rsidP="00A269FD">
            <w:pPr>
              <w:spacing w:before="60" w:after="60"/>
              <w:jc w:val="center"/>
            </w:pPr>
            <w:r w:rsidRPr="00824DE8">
              <w:t>0.00017</w:t>
            </w:r>
          </w:p>
        </w:tc>
        <w:tc>
          <w:tcPr>
            <w:tcW w:w="1701" w:type="dxa"/>
            <w:vAlign w:val="center"/>
          </w:tcPr>
          <w:p w:rsidR="00CA37A0" w:rsidRPr="00824DE8" w:rsidRDefault="00CA37A0" w:rsidP="00A269FD">
            <w:pPr>
              <w:spacing w:before="60" w:after="60"/>
              <w:jc w:val="center"/>
            </w:pPr>
            <w:r w:rsidRPr="00824DE8">
              <w:t>0.027</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 xml:space="preserve">May bioaccumulate in shellfish and fish </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Cadmium</w:t>
            </w:r>
          </w:p>
        </w:tc>
        <w:tc>
          <w:tcPr>
            <w:tcW w:w="992" w:type="dxa"/>
            <w:vAlign w:val="center"/>
          </w:tcPr>
          <w:p w:rsidR="00CA37A0" w:rsidRPr="00824DE8" w:rsidRDefault="00CA37A0" w:rsidP="00A269FD">
            <w:pPr>
              <w:spacing w:before="60" w:after="60"/>
              <w:jc w:val="center"/>
            </w:pPr>
            <w:r w:rsidRPr="00824DE8">
              <w:t>0.2</w:t>
            </w:r>
          </w:p>
        </w:tc>
        <w:tc>
          <w:tcPr>
            <w:tcW w:w="1701" w:type="dxa"/>
            <w:vAlign w:val="center"/>
          </w:tcPr>
          <w:p w:rsidR="00CA37A0" w:rsidRPr="00824DE8" w:rsidRDefault="00CA37A0" w:rsidP="00A269FD">
            <w:pPr>
              <w:spacing w:before="60" w:after="60"/>
              <w:jc w:val="center"/>
            </w:pPr>
            <w:r w:rsidRPr="00824DE8">
              <w:t>-</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May bioaccumulate in shellfish and fish</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Chlorine</w:t>
            </w:r>
          </w:p>
        </w:tc>
        <w:tc>
          <w:tcPr>
            <w:tcW w:w="992" w:type="dxa"/>
            <w:vAlign w:val="center"/>
          </w:tcPr>
          <w:p w:rsidR="00CA37A0" w:rsidRPr="00824DE8" w:rsidRDefault="00CA37A0" w:rsidP="00A269FD">
            <w:pPr>
              <w:spacing w:before="60" w:after="60"/>
              <w:jc w:val="center"/>
            </w:pPr>
            <w:r w:rsidRPr="00824DE8">
              <w:t>-</w:t>
            </w:r>
          </w:p>
        </w:tc>
        <w:tc>
          <w:tcPr>
            <w:tcW w:w="1701" w:type="dxa"/>
            <w:vAlign w:val="center"/>
          </w:tcPr>
          <w:p w:rsidR="00CA37A0" w:rsidRPr="00824DE8" w:rsidRDefault="00CA37A0" w:rsidP="00A269FD">
            <w:pPr>
              <w:spacing w:before="60" w:after="60"/>
              <w:jc w:val="center"/>
            </w:pPr>
            <w:r w:rsidRPr="00824DE8">
              <w:t>10</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To control risk from overuse used for controlling algae in marinas</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Chromium</w:t>
            </w:r>
          </w:p>
        </w:tc>
        <w:tc>
          <w:tcPr>
            <w:tcW w:w="992" w:type="dxa"/>
            <w:vAlign w:val="center"/>
          </w:tcPr>
          <w:p w:rsidR="00CA37A0" w:rsidRPr="00824DE8" w:rsidRDefault="00CA37A0" w:rsidP="00A269FD">
            <w:pPr>
              <w:spacing w:before="60" w:after="60"/>
              <w:jc w:val="center"/>
            </w:pPr>
            <w:r w:rsidRPr="00824DE8">
              <w:t>0.6</w:t>
            </w:r>
          </w:p>
        </w:tc>
        <w:tc>
          <w:tcPr>
            <w:tcW w:w="1701" w:type="dxa"/>
            <w:vAlign w:val="center"/>
          </w:tcPr>
          <w:p w:rsidR="00CA37A0" w:rsidRPr="00824DE8" w:rsidRDefault="00CA37A0" w:rsidP="00A269FD">
            <w:pPr>
              <w:spacing w:before="60" w:after="60"/>
              <w:jc w:val="center"/>
            </w:pPr>
            <w:r w:rsidRPr="00824DE8">
              <w:t>32</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May bioaccumulate in shellfish and fish</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Copper</w:t>
            </w:r>
          </w:p>
        </w:tc>
        <w:tc>
          <w:tcPr>
            <w:tcW w:w="992" w:type="dxa"/>
            <w:vAlign w:val="center"/>
          </w:tcPr>
          <w:p w:rsidR="00CA37A0" w:rsidRPr="00824DE8" w:rsidRDefault="00CA37A0" w:rsidP="00A269FD">
            <w:pPr>
              <w:spacing w:before="60" w:after="60"/>
              <w:jc w:val="center"/>
            </w:pPr>
            <w:r w:rsidRPr="00824DE8">
              <w:t>3.76</w:t>
            </w:r>
          </w:p>
        </w:tc>
        <w:tc>
          <w:tcPr>
            <w:tcW w:w="1701" w:type="dxa"/>
            <w:vAlign w:val="center"/>
          </w:tcPr>
          <w:p w:rsidR="00CA37A0" w:rsidRPr="00824DE8" w:rsidRDefault="00CA37A0" w:rsidP="00A269FD">
            <w:pPr>
              <w:spacing w:before="60" w:after="60"/>
              <w:jc w:val="center"/>
            </w:pPr>
            <w:r>
              <w:t>-</w:t>
            </w:r>
          </w:p>
        </w:tc>
        <w:tc>
          <w:tcPr>
            <w:tcW w:w="1134" w:type="dxa"/>
            <w:vAlign w:val="center"/>
          </w:tcPr>
          <w:p w:rsidR="00CA37A0" w:rsidRDefault="00CA37A0" w:rsidP="00A269FD">
            <w:pPr>
              <w:spacing w:before="60" w:after="60"/>
              <w:jc w:val="center"/>
            </w:pPr>
          </w:p>
        </w:tc>
        <w:tc>
          <w:tcPr>
            <w:tcW w:w="993" w:type="dxa"/>
            <w:vAlign w:val="center"/>
          </w:tcPr>
          <w:p w:rsidR="00CA37A0" w:rsidRDefault="00CA37A0" w:rsidP="00A269FD">
            <w:pPr>
              <w:spacing w:before="60" w:after="60"/>
              <w:jc w:val="center"/>
            </w:pPr>
          </w:p>
        </w:tc>
        <w:tc>
          <w:tcPr>
            <w:tcW w:w="2551" w:type="dxa"/>
            <w:vAlign w:val="center"/>
          </w:tcPr>
          <w:p w:rsidR="00CA37A0" w:rsidRDefault="00CA37A0" w:rsidP="00A269FD">
            <w:pPr>
              <w:spacing w:before="60" w:after="60"/>
            </w:pPr>
            <w:r>
              <w:t>May bioaccumulate in shellfish and fish</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Dissolved inorganic nitrogen (</w:t>
            </w:r>
            <w:r w:rsidRPr="00824DE8">
              <w:rPr>
                <w:rFonts w:eastAsia="Times New Roman"/>
                <w:color w:val="000000"/>
                <w:lang w:eastAsia="en-GB"/>
              </w:rPr>
              <w:t>micromoles per litre</w:t>
            </w:r>
            <w:r w:rsidRPr="00824DE8">
              <w:t>)</w:t>
            </w:r>
          </w:p>
        </w:tc>
        <w:tc>
          <w:tcPr>
            <w:tcW w:w="992" w:type="dxa"/>
            <w:vAlign w:val="center"/>
          </w:tcPr>
          <w:p w:rsidR="00CA37A0" w:rsidRPr="00824DE8" w:rsidRDefault="00CA37A0" w:rsidP="00A269FD">
            <w:pPr>
              <w:spacing w:before="60" w:after="60"/>
              <w:jc w:val="center"/>
            </w:pPr>
            <w:r w:rsidRPr="00824DE8">
              <w:t>-</w:t>
            </w:r>
          </w:p>
        </w:tc>
        <w:tc>
          <w:tcPr>
            <w:tcW w:w="1701" w:type="dxa"/>
            <w:vAlign w:val="center"/>
          </w:tcPr>
          <w:p w:rsidR="00CA37A0" w:rsidRPr="00824DE8" w:rsidRDefault="00CA37A0" w:rsidP="00A269FD">
            <w:pPr>
              <w:spacing w:before="60" w:after="60"/>
              <w:jc w:val="center"/>
            </w:pPr>
            <w:r w:rsidRPr="00824DE8">
              <w:t>18</w:t>
            </w:r>
            <w:r>
              <w:t>.7</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For control of algal blooms</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 xml:space="preserve">Dissolved inorganic </w:t>
            </w:r>
            <w:r>
              <w:t>phosphorus</w:t>
            </w:r>
            <w:r w:rsidRPr="00824DE8">
              <w:t xml:space="preserve"> (</w:t>
            </w:r>
            <w:r w:rsidRPr="00824DE8">
              <w:rPr>
                <w:rFonts w:eastAsia="Times New Roman"/>
                <w:color w:val="000000"/>
                <w:lang w:eastAsia="en-GB"/>
              </w:rPr>
              <w:t>micromoles per litre</w:t>
            </w:r>
            <w:r w:rsidRPr="00824DE8">
              <w:t>)</w:t>
            </w:r>
          </w:p>
        </w:tc>
        <w:tc>
          <w:tcPr>
            <w:tcW w:w="992" w:type="dxa"/>
            <w:vAlign w:val="center"/>
          </w:tcPr>
          <w:p w:rsidR="00CA37A0" w:rsidRPr="00824DE8" w:rsidRDefault="00CA37A0" w:rsidP="00A269FD">
            <w:pPr>
              <w:spacing w:before="60" w:after="60"/>
              <w:jc w:val="center"/>
            </w:pPr>
          </w:p>
        </w:tc>
        <w:tc>
          <w:tcPr>
            <w:tcW w:w="1701" w:type="dxa"/>
            <w:vAlign w:val="center"/>
          </w:tcPr>
          <w:p w:rsidR="00CA37A0" w:rsidRPr="00824DE8" w:rsidRDefault="00CA37A0" w:rsidP="00A269FD">
            <w:pPr>
              <w:spacing w:before="60" w:after="60"/>
              <w:jc w:val="center"/>
            </w:pPr>
            <w:r>
              <w:t>0.74</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Default="00CA37A0" w:rsidP="00A269FD">
            <w:pPr>
              <w:spacing w:before="60" w:after="60"/>
            </w:pPr>
            <w:r>
              <w:t>For control of algal blooms</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Dissolved oxygen (mg/l)</w:t>
            </w:r>
          </w:p>
        </w:tc>
        <w:tc>
          <w:tcPr>
            <w:tcW w:w="992" w:type="dxa"/>
            <w:vAlign w:val="center"/>
          </w:tcPr>
          <w:p w:rsidR="00CA37A0" w:rsidRPr="00824DE8" w:rsidRDefault="00CA37A0" w:rsidP="00A269FD">
            <w:pPr>
              <w:spacing w:before="60" w:after="60"/>
              <w:jc w:val="center"/>
            </w:pPr>
            <w:r w:rsidRPr="00824DE8">
              <w:t>-</w:t>
            </w:r>
          </w:p>
        </w:tc>
        <w:tc>
          <w:tcPr>
            <w:tcW w:w="1701" w:type="dxa"/>
            <w:vAlign w:val="center"/>
          </w:tcPr>
          <w:p w:rsidR="00CA37A0" w:rsidRPr="00824DE8" w:rsidRDefault="00CA37A0" w:rsidP="00A269FD">
            <w:pPr>
              <w:spacing w:before="60" w:after="60"/>
              <w:jc w:val="center"/>
            </w:pPr>
            <w:r w:rsidRPr="00824DE8">
              <w:t>4</w:t>
            </w:r>
            <w:r>
              <w:t>*</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Will cause stress/death of fish and other animals</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Iron</w:t>
            </w:r>
          </w:p>
        </w:tc>
        <w:tc>
          <w:tcPr>
            <w:tcW w:w="992" w:type="dxa"/>
            <w:vAlign w:val="center"/>
          </w:tcPr>
          <w:p w:rsidR="00CA37A0" w:rsidRPr="00824DE8" w:rsidRDefault="00CA37A0" w:rsidP="00A269FD">
            <w:pPr>
              <w:spacing w:before="60" w:after="60"/>
              <w:jc w:val="center"/>
            </w:pPr>
            <w:r w:rsidRPr="00824DE8">
              <w:t>1000</w:t>
            </w:r>
          </w:p>
        </w:tc>
        <w:tc>
          <w:tcPr>
            <w:tcW w:w="1701" w:type="dxa"/>
            <w:vAlign w:val="center"/>
          </w:tcPr>
          <w:p w:rsidR="00CA37A0" w:rsidRPr="00824DE8" w:rsidRDefault="00CA37A0" w:rsidP="00A269FD">
            <w:pPr>
              <w:spacing w:before="60" w:after="60"/>
              <w:jc w:val="center"/>
            </w:pPr>
            <w:r w:rsidRPr="00824DE8">
              <w:t>-</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Toxic to aquatic organisms</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Lead</w:t>
            </w:r>
          </w:p>
        </w:tc>
        <w:tc>
          <w:tcPr>
            <w:tcW w:w="992" w:type="dxa"/>
            <w:vAlign w:val="center"/>
          </w:tcPr>
          <w:p w:rsidR="00CA37A0" w:rsidRPr="00824DE8" w:rsidRDefault="00CA37A0" w:rsidP="00A269FD">
            <w:pPr>
              <w:spacing w:before="60" w:after="60"/>
              <w:jc w:val="center"/>
            </w:pPr>
            <w:r w:rsidRPr="00824DE8">
              <w:t>1.3</w:t>
            </w:r>
          </w:p>
        </w:tc>
        <w:tc>
          <w:tcPr>
            <w:tcW w:w="1701" w:type="dxa"/>
            <w:vAlign w:val="center"/>
          </w:tcPr>
          <w:p w:rsidR="00CA37A0" w:rsidRPr="00824DE8" w:rsidRDefault="00CA37A0" w:rsidP="00A269FD">
            <w:pPr>
              <w:spacing w:before="60" w:after="60"/>
              <w:jc w:val="center"/>
            </w:pPr>
            <w:r w:rsidRPr="00824DE8">
              <w:t>14</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May bioaccumulate in shellfish and fish</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Mercury</w:t>
            </w:r>
          </w:p>
        </w:tc>
        <w:tc>
          <w:tcPr>
            <w:tcW w:w="992" w:type="dxa"/>
            <w:vAlign w:val="center"/>
          </w:tcPr>
          <w:p w:rsidR="00CA37A0" w:rsidRPr="00824DE8" w:rsidRDefault="00CA37A0" w:rsidP="00A269FD">
            <w:pPr>
              <w:spacing w:before="60" w:after="60"/>
              <w:jc w:val="center"/>
            </w:pPr>
            <w:r w:rsidRPr="00824DE8">
              <w:t>-</w:t>
            </w:r>
          </w:p>
        </w:tc>
        <w:tc>
          <w:tcPr>
            <w:tcW w:w="1701" w:type="dxa"/>
            <w:vAlign w:val="center"/>
          </w:tcPr>
          <w:p w:rsidR="00CA37A0" w:rsidRPr="00824DE8" w:rsidRDefault="00CA37A0" w:rsidP="00A269FD">
            <w:pPr>
              <w:spacing w:before="60" w:after="60"/>
              <w:jc w:val="center"/>
            </w:pPr>
            <w:r w:rsidRPr="00824DE8">
              <w:t>0.07</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May bioaccumulate in shellfish and fish</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Nickel</w:t>
            </w:r>
          </w:p>
        </w:tc>
        <w:tc>
          <w:tcPr>
            <w:tcW w:w="992" w:type="dxa"/>
            <w:vAlign w:val="center"/>
          </w:tcPr>
          <w:p w:rsidR="00CA37A0" w:rsidRPr="00824DE8" w:rsidRDefault="00CA37A0" w:rsidP="00A269FD">
            <w:pPr>
              <w:spacing w:before="60" w:after="60"/>
              <w:jc w:val="center"/>
            </w:pPr>
            <w:r w:rsidRPr="00824DE8">
              <w:t>8.6</w:t>
            </w:r>
          </w:p>
        </w:tc>
        <w:tc>
          <w:tcPr>
            <w:tcW w:w="1701" w:type="dxa"/>
            <w:vAlign w:val="center"/>
          </w:tcPr>
          <w:p w:rsidR="00CA37A0" w:rsidRPr="00824DE8" w:rsidRDefault="00CA37A0" w:rsidP="00A269FD">
            <w:pPr>
              <w:spacing w:before="60" w:after="60"/>
              <w:jc w:val="center"/>
            </w:pPr>
            <w:r w:rsidRPr="00824DE8">
              <w:t>34</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tcBorders>
              <w:bottom w:val="single" w:sz="4" w:space="0" w:color="auto"/>
            </w:tcBorders>
            <w:vAlign w:val="center"/>
          </w:tcPr>
          <w:p w:rsidR="00CA37A0" w:rsidRPr="00824DE8" w:rsidRDefault="00CA37A0" w:rsidP="00A269FD">
            <w:pPr>
              <w:spacing w:before="60" w:after="60"/>
            </w:pPr>
            <w:r>
              <w:t>May bioaccumulate in shellfish and fish</w:t>
            </w:r>
          </w:p>
        </w:tc>
      </w:tr>
      <w:tr w:rsidR="00CA37A0" w:rsidRPr="00890BA7" w:rsidTr="00CE3741">
        <w:trPr>
          <w:cantSplit/>
          <w:trHeight w:val="884"/>
          <w:jc w:val="center"/>
        </w:trPr>
        <w:tc>
          <w:tcPr>
            <w:tcW w:w="7225" w:type="dxa"/>
            <w:gridSpan w:val="5"/>
            <w:tcBorders>
              <w:right w:val="single" w:sz="4" w:space="0" w:color="auto"/>
            </w:tcBorders>
            <w:vAlign w:val="center"/>
          </w:tcPr>
          <w:p w:rsidR="00CA37A0" w:rsidRPr="00544D44" w:rsidRDefault="00CA37A0" w:rsidP="00A269FD">
            <w:pPr>
              <w:spacing w:before="60" w:after="60"/>
              <w:rPr>
                <w:u w:val="single"/>
              </w:rPr>
            </w:pPr>
            <w:r>
              <w:t>Polychlorinated biphenyls - congeners</w:t>
            </w:r>
          </w:p>
        </w:tc>
        <w:tc>
          <w:tcPr>
            <w:tcW w:w="2551" w:type="dxa"/>
            <w:tcBorders>
              <w:top w:val="single" w:sz="4" w:space="0" w:color="auto"/>
              <w:left w:val="single" w:sz="4" w:space="0" w:color="auto"/>
              <w:bottom w:val="nil"/>
              <w:right w:val="single" w:sz="4" w:space="0" w:color="auto"/>
            </w:tcBorders>
            <w:vAlign w:val="center"/>
          </w:tcPr>
          <w:p w:rsidR="00CA37A0" w:rsidRPr="00544D44" w:rsidRDefault="00CA37A0" w:rsidP="00A269FD">
            <w:pPr>
              <w:spacing w:before="60" w:after="60"/>
              <w:rPr>
                <w:u w:val="single"/>
              </w:rPr>
            </w:pPr>
            <w:r>
              <w:t>May bioaccumulate in shellfish and fish</w:t>
            </w:r>
          </w:p>
        </w:tc>
      </w:tr>
      <w:tr w:rsidR="00CA37A0" w:rsidRPr="00890BA7" w:rsidTr="00CE3741">
        <w:trPr>
          <w:cantSplit/>
          <w:jc w:val="center"/>
        </w:trPr>
        <w:tc>
          <w:tcPr>
            <w:tcW w:w="2405" w:type="dxa"/>
            <w:vAlign w:val="center"/>
          </w:tcPr>
          <w:p w:rsidR="00CA37A0" w:rsidRPr="006B2303" w:rsidRDefault="00CA37A0" w:rsidP="00CA37A0">
            <w:pPr>
              <w:pStyle w:val="ListParagraph"/>
              <w:numPr>
                <w:ilvl w:val="0"/>
                <w:numId w:val="19"/>
              </w:numPr>
              <w:spacing w:before="60" w:after="60"/>
            </w:pPr>
            <w:r w:rsidRPr="006B2303">
              <w:t>PCB28</w:t>
            </w:r>
          </w:p>
        </w:tc>
        <w:tc>
          <w:tcPr>
            <w:tcW w:w="992" w:type="dxa"/>
            <w:vAlign w:val="center"/>
          </w:tcPr>
          <w:p w:rsidR="00CA37A0" w:rsidRPr="00824DE8" w:rsidRDefault="00CA37A0" w:rsidP="00A269FD">
            <w:pPr>
              <w:spacing w:before="60" w:after="60"/>
              <w:jc w:val="center"/>
            </w:pPr>
          </w:p>
        </w:tc>
        <w:tc>
          <w:tcPr>
            <w:tcW w:w="1701" w:type="dxa"/>
            <w:vAlign w:val="center"/>
          </w:tcPr>
          <w:p w:rsidR="00CA37A0" w:rsidRPr="00544D44" w:rsidRDefault="00CA37A0" w:rsidP="00A269FD">
            <w:pPr>
              <w:spacing w:before="60" w:after="60"/>
              <w:jc w:val="center"/>
              <w:rPr>
                <w:u w:val="single"/>
              </w:rPr>
            </w:pPr>
          </w:p>
        </w:tc>
        <w:tc>
          <w:tcPr>
            <w:tcW w:w="1134" w:type="dxa"/>
            <w:vAlign w:val="center"/>
          </w:tcPr>
          <w:p w:rsidR="00CA37A0" w:rsidRPr="00544D44" w:rsidRDefault="00CA37A0" w:rsidP="00A269FD">
            <w:pPr>
              <w:spacing w:before="60" w:after="60"/>
              <w:jc w:val="center"/>
              <w:rPr>
                <w:u w:val="single"/>
              </w:rPr>
            </w:pPr>
            <w:r>
              <w:rPr>
                <w:u w:val="single"/>
              </w:rPr>
              <w:t>1.7</w:t>
            </w:r>
          </w:p>
        </w:tc>
        <w:tc>
          <w:tcPr>
            <w:tcW w:w="993" w:type="dxa"/>
            <w:tcBorders>
              <w:right w:val="single" w:sz="4" w:space="0" w:color="auto"/>
            </w:tcBorders>
            <w:vAlign w:val="center"/>
          </w:tcPr>
          <w:p w:rsidR="00CA37A0" w:rsidRPr="00544D44" w:rsidRDefault="00CA37A0" w:rsidP="00A269FD">
            <w:pPr>
              <w:spacing w:before="60" w:after="60"/>
              <w:jc w:val="center"/>
              <w:rPr>
                <w:u w:val="single"/>
              </w:rPr>
            </w:pPr>
            <w:r>
              <w:rPr>
                <w:u w:val="single"/>
              </w:rPr>
              <w:t>64</w:t>
            </w:r>
          </w:p>
        </w:tc>
        <w:tc>
          <w:tcPr>
            <w:tcW w:w="2551" w:type="dxa"/>
            <w:tcBorders>
              <w:top w:val="nil"/>
              <w:left w:val="single" w:sz="4" w:space="0" w:color="auto"/>
              <w:bottom w:val="nil"/>
              <w:right w:val="single" w:sz="4" w:space="0" w:color="auto"/>
            </w:tcBorders>
            <w:vAlign w:val="center"/>
          </w:tcPr>
          <w:p w:rsidR="00CA37A0" w:rsidRDefault="00CA37A0" w:rsidP="00A269FD">
            <w:pPr>
              <w:spacing w:before="60" w:after="60"/>
              <w:rPr>
                <w:u w:val="single"/>
              </w:rPr>
            </w:pPr>
          </w:p>
        </w:tc>
      </w:tr>
      <w:tr w:rsidR="00CA37A0" w:rsidRPr="00890BA7" w:rsidTr="00CE3741">
        <w:trPr>
          <w:cantSplit/>
          <w:jc w:val="center"/>
        </w:trPr>
        <w:tc>
          <w:tcPr>
            <w:tcW w:w="2405" w:type="dxa"/>
            <w:vAlign w:val="center"/>
          </w:tcPr>
          <w:p w:rsidR="00CA37A0" w:rsidRPr="006B2303" w:rsidRDefault="00CA37A0" w:rsidP="00CA37A0">
            <w:pPr>
              <w:pStyle w:val="ListParagraph"/>
              <w:numPr>
                <w:ilvl w:val="0"/>
                <w:numId w:val="19"/>
              </w:numPr>
              <w:spacing w:before="60" w:after="60"/>
            </w:pPr>
            <w:r w:rsidRPr="006B2303">
              <w:lastRenderedPageBreak/>
              <w:t>PCB52</w:t>
            </w:r>
          </w:p>
        </w:tc>
        <w:tc>
          <w:tcPr>
            <w:tcW w:w="992" w:type="dxa"/>
            <w:vAlign w:val="center"/>
          </w:tcPr>
          <w:p w:rsidR="00CA37A0" w:rsidRPr="00824DE8" w:rsidRDefault="00CA37A0" w:rsidP="00A269FD">
            <w:pPr>
              <w:spacing w:before="60" w:after="60"/>
              <w:jc w:val="center"/>
            </w:pPr>
          </w:p>
        </w:tc>
        <w:tc>
          <w:tcPr>
            <w:tcW w:w="1701" w:type="dxa"/>
            <w:vAlign w:val="center"/>
          </w:tcPr>
          <w:p w:rsidR="00CA37A0" w:rsidRPr="00544D44" w:rsidRDefault="00CA37A0" w:rsidP="00A269FD">
            <w:pPr>
              <w:spacing w:before="60" w:after="60"/>
              <w:jc w:val="center"/>
              <w:rPr>
                <w:u w:val="single"/>
              </w:rPr>
            </w:pPr>
          </w:p>
        </w:tc>
        <w:tc>
          <w:tcPr>
            <w:tcW w:w="1134" w:type="dxa"/>
            <w:vAlign w:val="center"/>
          </w:tcPr>
          <w:p w:rsidR="00CA37A0" w:rsidRPr="00544D44" w:rsidRDefault="00CA37A0" w:rsidP="00A269FD">
            <w:pPr>
              <w:spacing w:before="60" w:after="60"/>
              <w:jc w:val="center"/>
              <w:rPr>
                <w:u w:val="single"/>
              </w:rPr>
            </w:pPr>
            <w:r>
              <w:rPr>
                <w:u w:val="single"/>
              </w:rPr>
              <w:t>2.7</w:t>
            </w:r>
          </w:p>
        </w:tc>
        <w:tc>
          <w:tcPr>
            <w:tcW w:w="993" w:type="dxa"/>
            <w:tcBorders>
              <w:right w:val="single" w:sz="4" w:space="0" w:color="auto"/>
            </w:tcBorders>
            <w:vAlign w:val="center"/>
          </w:tcPr>
          <w:p w:rsidR="00CA37A0" w:rsidRPr="00544D44" w:rsidRDefault="00CA37A0" w:rsidP="00A269FD">
            <w:pPr>
              <w:spacing w:before="60" w:after="60"/>
              <w:jc w:val="center"/>
              <w:rPr>
                <w:u w:val="single"/>
              </w:rPr>
            </w:pPr>
            <w:r>
              <w:rPr>
                <w:u w:val="single"/>
              </w:rPr>
              <w:t>108</w:t>
            </w:r>
          </w:p>
        </w:tc>
        <w:tc>
          <w:tcPr>
            <w:tcW w:w="2551" w:type="dxa"/>
            <w:tcBorders>
              <w:top w:val="nil"/>
              <w:left w:val="single" w:sz="4" w:space="0" w:color="auto"/>
              <w:bottom w:val="nil"/>
              <w:right w:val="single" w:sz="4" w:space="0" w:color="auto"/>
            </w:tcBorders>
            <w:vAlign w:val="center"/>
          </w:tcPr>
          <w:p w:rsidR="00CA37A0" w:rsidRDefault="00CA37A0" w:rsidP="00A269FD">
            <w:pPr>
              <w:spacing w:before="60" w:after="60"/>
              <w:rPr>
                <w:u w:val="single"/>
              </w:rPr>
            </w:pPr>
          </w:p>
        </w:tc>
      </w:tr>
      <w:tr w:rsidR="00CA37A0" w:rsidRPr="00890BA7" w:rsidTr="00CE3741">
        <w:trPr>
          <w:cantSplit/>
          <w:jc w:val="center"/>
        </w:trPr>
        <w:tc>
          <w:tcPr>
            <w:tcW w:w="2405" w:type="dxa"/>
            <w:vAlign w:val="center"/>
          </w:tcPr>
          <w:p w:rsidR="00CA37A0" w:rsidRPr="006B2303" w:rsidRDefault="00CA37A0" w:rsidP="00CA37A0">
            <w:pPr>
              <w:pStyle w:val="ListParagraph"/>
              <w:numPr>
                <w:ilvl w:val="0"/>
                <w:numId w:val="19"/>
              </w:numPr>
              <w:spacing w:before="60" w:after="60"/>
            </w:pPr>
            <w:r w:rsidRPr="006B2303">
              <w:t>PCB101</w:t>
            </w:r>
          </w:p>
        </w:tc>
        <w:tc>
          <w:tcPr>
            <w:tcW w:w="992" w:type="dxa"/>
            <w:vAlign w:val="center"/>
          </w:tcPr>
          <w:p w:rsidR="00CA37A0" w:rsidRPr="00824DE8" w:rsidRDefault="00CA37A0" w:rsidP="00A269FD">
            <w:pPr>
              <w:spacing w:before="60" w:after="60"/>
              <w:jc w:val="center"/>
            </w:pPr>
          </w:p>
        </w:tc>
        <w:tc>
          <w:tcPr>
            <w:tcW w:w="1701" w:type="dxa"/>
            <w:vAlign w:val="center"/>
          </w:tcPr>
          <w:p w:rsidR="00CA37A0" w:rsidRPr="00544D44" w:rsidRDefault="00CA37A0" w:rsidP="00A269FD">
            <w:pPr>
              <w:spacing w:before="60" w:after="60"/>
              <w:jc w:val="center"/>
              <w:rPr>
                <w:u w:val="single"/>
              </w:rPr>
            </w:pPr>
          </w:p>
        </w:tc>
        <w:tc>
          <w:tcPr>
            <w:tcW w:w="1134" w:type="dxa"/>
            <w:vAlign w:val="center"/>
          </w:tcPr>
          <w:p w:rsidR="00CA37A0" w:rsidRPr="00544D44" w:rsidRDefault="00CA37A0" w:rsidP="00A269FD">
            <w:pPr>
              <w:spacing w:before="60" w:after="60"/>
              <w:jc w:val="center"/>
              <w:rPr>
                <w:u w:val="single"/>
              </w:rPr>
            </w:pPr>
            <w:r>
              <w:rPr>
                <w:u w:val="single"/>
              </w:rPr>
              <w:t>3.0</w:t>
            </w:r>
          </w:p>
        </w:tc>
        <w:tc>
          <w:tcPr>
            <w:tcW w:w="993" w:type="dxa"/>
            <w:tcBorders>
              <w:right w:val="single" w:sz="4" w:space="0" w:color="auto"/>
            </w:tcBorders>
            <w:vAlign w:val="center"/>
          </w:tcPr>
          <w:p w:rsidR="00CA37A0" w:rsidRPr="00544D44" w:rsidRDefault="00CA37A0" w:rsidP="00A269FD">
            <w:pPr>
              <w:spacing w:before="60" w:after="60"/>
              <w:jc w:val="center"/>
              <w:rPr>
                <w:u w:val="single"/>
              </w:rPr>
            </w:pPr>
            <w:r>
              <w:rPr>
                <w:u w:val="single"/>
              </w:rPr>
              <w:t>120</w:t>
            </w:r>
          </w:p>
        </w:tc>
        <w:tc>
          <w:tcPr>
            <w:tcW w:w="2551" w:type="dxa"/>
            <w:tcBorders>
              <w:top w:val="nil"/>
              <w:left w:val="single" w:sz="4" w:space="0" w:color="auto"/>
              <w:bottom w:val="nil"/>
              <w:right w:val="single" w:sz="4" w:space="0" w:color="auto"/>
            </w:tcBorders>
            <w:vAlign w:val="center"/>
          </w:tcPr>
          <w:p w:rsidR="00CA37A0" w:rsidRDefault="00CA37A0" w:rsidP="00A269FD">
            <w:pPr>
              <w:spacing w:before="60" w:after="60"/>
              <w:rPr>
                <w:u w:val="single"/>
              </w:rPr>
            </w:pPr>
          </w:p>
        </w:tc>
      </w:tr>
      <w:tr w:rsidR="00CA37A0" w:rsidRPr="00890BA7" w:rsidTr="00CE3741">
        <w:trPr>
          <w:cantSplit/>
          <w:jc w:val="center"/>
        </w:trPr>
        <w:tc>
          <w:tcPr>
            <w:tcW w:w="2405" w:type="dxa"/>
            <w:vAlign w:val="center"/>
          </w:tcPr>
          <w:p w:rsidR="00CA37A0" w:rsidRPr="006B2303" w:rsidRDefault="00CA37A0" w:rsidP="00CA37A0">
            <w:pPr>
              <w:pStyle w:val="ListParagraph"/>
              <w:numPr>
                <w:ilvl w:val="0"/>
                <w:numId w:val="19"/>
              </w:numPr>
              <w:spacing w:before="60" w:after="60"/>
            </w:pPr>
            <w:r w:rsidRPr="006B2303">
              <w:t>PCB118</w:t>
            </w:r>
          </w:p>
        </w:tc>
        <w:tc>
          <w:tcPr>
            <w:tcW w:w="992" w:type="dxa"/>
            <w:vAlign w:val="center"/>
          </w:tcPr>
          <w:p w:rsidR="00CA37A0" w:rsidRPr="00824DE8" w:rsidRDefault="00CA37A0" w:rsidP="00A269FD">
            <w:pPr>
              <w:spacing w:before="60" w:after="60"/>
              <w:jc w:val="center"/>
            </w:pPr>
          </w:p>
        </w:tc>
        <w:tc>
          <w:tcPr>
            <w:tcW w:w="1701" w:type="dxa"/>
            <w:vAlign w:val="center"/>
          </w:tcPr>
          <w:p w:rsidR="00CA37A0" w:rsidRPr="00544D44" w:rsidRDefault="00CA37A0" w:rsidP="00A269FD">
            <w:pPr>
              <w:spacing w:before="60" w:after="60"/>
              <w:jc w:val="center"/>
              <w:rPr>
                <w:u w:val="single"/>
              </w:rPr>
            </w:pPr>
          </w:p>
        </w:tc>
        <w:tc>
          <w:tcPr>
            <w:tcW w:w="1134" w:type="dxa"/>
            <w:vAlign w:val="center"/>
          </w:tcPr>
          <w:p w:rsidR="00CA37A0" w:rsidRPr="00544D44" w:rsidRDefault="00CA37A0" w:rsidP="00A269FD">
            <w:pPr>
              <w:spacing w:before="60" w:after="60"/>
              <w:jc w:val="center"/>
              <w:rPr>
                <w:u w:val="single"/>
              </w:rPr>
            </w:pPr>
            <w:r>
              <w:rPr>
                <w:u w:val="single"/>
              </w:rPr>
              <w:t>0.6</w:t>
            </w:r>
          </w:p>
        </w:tc>
        <w:tc>
          <w:tcPr>
            <w:tcW w:w="993" w:type="dxa"/>
            <w:tcBorders>
              <w:right w:val="single" w:sz="4" w:space="0" w:color="auto"/>
            </w:tcBorders>
            <w:vAlign w:val="center"/>
          </w:tcPr>
          <w:p w:rsidR="00CA37A0" w:rsidRPr="00544D44" w:rsidRDefault="00CA37A0" w:rsidP="00A269FD">
            <w:pPr>
              <w:spacing w:before="60" w:after="60"/>
              <w:jc w:val="center"/>
              <w:rPr>
                <w:u w:val="single"/>
              </w:rPr>
            </w:pPr>
            <w:r>
              <w:rPr>
                <w:u w:val="single"/>
              </w:rPr>
              <w:t>24</w:t>
            </w:r>
          </w:p>
        </w:tc>
        <w:tc>
          <w:tcPr>
            <w:tcW w:w="2551" w:type="dxa"/>
            <w:tcBorders>
              <w:top w:val="nil"/>
              <w:left w:val="single" w:sz="4" w:space="0" w:color="auto"/>
              <w:bottom w:val="nil"/>
              <w:right w:val="single" w:sz="4" w:space="0" w:color="auto"/>
            </w:tcBorders>
            <w:vAlign w:val="center"/>
          </w:tcPr>
          <w:p w:rsidR="00CA37A0" w:rsidRDefault="00CA37A0" w:rsidP="00A269FD">
            <w:pPr>
              <w:spacing w:before="60" w:after="60"/>
              <w:rPr>
                <w:u w:val="single"/>
              </w:rPr>
            </w:pPr>
          </w:p>
        </w:tc>
      </w:tr>
      <w:tr w:rsidR="00CA37A0" w:rsidRPr="00890BA7" w:rsidTr="00CE3741">
        <w:trPr>
          <w:cantSplit/>
          <w:jc w:val="center"/>
        </w:trPr>
        <w:tc>
          <w:tcPr>
            <w:tcW w:w="2405" w:type="dxa"/>
            <w:vAlign w:val="center"/>
          </w:tcPr>
          <w:p w:rsidR="00CA37A0" w:rsidRPr="006B2303" w:rsidRDefault="00CA37A0" w:rsidP="00CA37A0">
            <w:pPr>
              <w:pStyle w:val="ListParagraph"/>
              <w:numPr>
                <w:ilvl w:val="0"/>
                <w:numId w:val="19"/>
              </w:numPr>
              <w:spacing w:before="60" w:after="60"/>
            </w:pPr>
            <w:r w:rsidRPr="006B2303">
              <w:t>PCB138</w:t>
            </w:r>
          </w:p>
        </w:tc>
        <w:tc>
          <w:tcPr>
            <w:tcW w:w="992" w:type="dxa"/>
            <w:vAlign w:val="center"/>
          </w:tcPr>
          <w:p w:rsidR="00CA37A0" w:rsidRPr="00824DE8" w:rsidRDefault="00CA37A0" w:rsidP="00A269FD">
            <w:pPr>
              <w:spacing w:before="60" w:after="60"/>
              <w:jc w:val="center"/>
            </w:pPr>
          </w:p>
        </w:tc>
        <w:tc>
          <w:tcPr>
            <w:tcW w:w="1701" w:type="dxa"/>
            <w:vAlign w:val="center"/>
          </w:tcPr>
          <w:p w:rsidR="00CA37A0" w:rsidRPr="00544D44" w:rsidRDefault="00CA37A0" w:rsidP="00A269FD">
            <w:pPr>
              <w:spacing w:before="60" w:after="60"/>
              <w:jc w:val="center"/>
              <w:rPr>
                <w:u w:val="single"/>
              </w:rPr>
            </w:pPr>
          </w:p>
        </w:tc>
        <w:tc>
          <w:tcPr>
            <w:tcW w:w="1134" w:type="dxa"/>
            <w:vAlign w:val="center"/>
          </w:tcPr>
          <w:p w:rsidR="00CA37A0" w:rsidRPr="00544D44" w:rsidRDefault="00CA37A0" w:rsidP="00A269FD">
            <w:pPr>
              <w:spacing w:before="60" w:after="60"/>
              <w:jc w:val="center"/>
              <w:rPr>
                <w:u w:val="single"/>
              </w:rPr>
            </w:pPr>
            <w:r>
              <w:rPr>
                <w:u w:val="single"/>
              </w:rPr>
              <w:t>7.9</w:t>
            </w:r>
          </w:p>
        </w:tc>
        <w:tc>
          <w:tcPr>
            <w:tcW w:w="993" w:type="dxa"/>
            <w:tcBorders>
              <w:right w:val="single" w:sz="4" w:space="0" w:color="auto"/>
            </w:tcBorders>
            <w:vAlign w:val="center"/>
          </w:tcPr>
          <w:p w:rsidR="00CA37A0" w:rsidRPr="00544D44" w:rsidRDefault="00CA37A0" w:rsidP="00A269FD">
            <w:pPr>
              <w:spacing w:before="60" w:after="60"/>
              <w:jc w:val="center"/>
              <w:rPr>
                <w:u w:val="single"/>
              </w:rPr>
            </w:pPr>
            <w:r>
              <w:rPr>
                <w:u w:val="single"/>
              </w:rPr>
              <w:t>316</w:t>
            </w:r>
          </w:p>
        </w:tc>
        <w:tc>
          <w:tcPr>
            <w:tcW w:w="2551" w:type="dxa"/>
            <w:tcBorders>
              <w:top w:val="nil"/>
              <w:left w:val="single" w:sz="4" w:space="0" w:color="auto"/>
              <w:bottom w:val="nil"/>
              <w:right w:val="single" w:sz="4" w:space="0" w:color="auto"/>
            </w:tcBorders>
            <w:vAlign w:val="center"/>
          </w:tcPr>
          <w:p w:rsidR="00CA37A0" w:rsidRDefault="00CA37A0" w:rsidP="00A269FD">
            <w:pPr>
              <w:spacing w:before="60" w:after="60"/>
              <w:rPr>
                <w:u w:val="single"/>
              </w:rPr>
            </w:pPr>
          </w:p>
        </w:tc>
      </w:tr>
      <w:tr w:rsidR="00CA37A0" w:rsidRPr="00890BA7" w:rsidTr="00CE3741">
        <w:trPr>
          <w:cantSplit/>
          <w:jc w:val="center"/>
        </w:trPr>
        <w:tc>
          <w:tcPr>
            <w:tcW w:w="2405" w:type="dxa"/>
            <w:vAlign w:val="center"/>
          </w:tcPr>
          <w:p w:rsidR="00CA37A0" w:rsidRPr="006B2303" w:rsidRDefault="00CA37A0" w:rsidP="00CA37A0">
            <w:pPr>
              <w:pStyle w:val="ListParagraph"/>
              <w:numPr>
                <w:ilvl w:val="0"/>
                <w:numId w:val="19"/>
              </w:numPr>
              <w:spacing w:before="60" w:after="60"/>
            </w:pPr>
            <w:r w:rsidRPr="006B2303">
              <w:t>PCB153</w:t>
            </w:r>
          </w:p>
        </w:tc>
        <w:tc>
          <w:tcPr>
            <w:tcW w:w="992" w:type="dxa"/>
            <w:vAlign w:val="center"/>
          </w:tcPr>
          <w:p w:rsidR="00CA37A0" w:rsidRPr="00824DE8" w:rsidRDefault="00CA37A0" w:rsidP="00A269FD">
            <w:pPr>
              <w:spacing w:before="60" w:after="60"/>
              <w:jc w:val="center"/>
            </w:pPr>
          </w:p>
        </w:tc>
        <w:tc>
          <w:tcPr>
            <w:tcW w:w="1701" w:type="dxa"/>
            <w:vAlign w:val="center"/>
          </w:tcPr>
          <w:p w:rsidR="00CA37A0" w:rsidRPr="00544D44" w:rsidRDefault="00CA37A0" w:rsidP="00A269FD">
            <w:pPr>
              <w:spacing w:before="60" w:after="60"/>
              <w:jc w:val="center"/>
              <w:rPr>
                <w:u w:val="single"/>
              </w:rPr>
            </w:pPr>
          </w:p>
        </w:tc>
        <w:tc>
          <w:tcPr>
            <w:tcW w:w="1134" w:type="dxa"/>
            <w:vAlign w:val="center"/>
          </w:tcPr>
          <w:p w:rsidR="00CA37A0" w:rsidRPr="00544D44" w:rsidRDefault="00CA37A0" w:rsidP="00A269FD">
            <w:pPr>
              <w:spacing w:before="60" w:after="60"/>
              <w:jc w:val="center"/>
              <w:rPr>
                <w:u w:val="single"/>
              </w:rPr>
            </w:pPr>
            <w:r>
              <w:rPr>
                <w:u w:val="single"/>
              </w:rPr>
              <w:t>40</w:t>
            </w:r>
          </w:p>
        </w:tc>
        <w:tc>
          <w:tcPr>
            <w:tcW w:w="993" w:type="dxa"/>
            <w:tcBorders>
              <w:right w:val="single" w:sz="4" w:space="0" w:color="auto"/>
            </w:tcBorders>
            <w:vAlign w:val="center"/>
          </w:tcPr>
          <w:p w:rsidR="00CA37A0" w:rsidRPr="00544D44" w:rsidRDefault="00CA37A0" w:rsidP="00A269FD">
            <w:pPr>
              <w:spacing w:before="60" w:after="60"/>
              <w:jc w:val="center"/>
              <w:rPr>
                <w:u w:val="single"/>
              </w:rPr>
            </w:pPr>
            <w:r>
              <w:rPr>
                <w:u w:val="single"/>
              </w:rPr>
              <w:t>1600</w:t>
            </w:r>
          </w:p>
        </w:tc>
        <w:tc>
          <w:tcPr>
            <w:tcW w:w="2551" w:type="dxa"/>
            <w:tcBorders>
              <w:top w:val="nil"/>
              <w:left w:val="single" w:sz="4" w:space="0" w:color="auto"/>
              <w:bottom w:val="nil"/>
              <w:right w:val="single" w:sz="4" w:space="0" w:color="auto"/>
            </w:tcBorders>
            <w:vAlign w:val="center"/>
          </w:tcPr>
          <w:p w:rsidR="00CA37A0" w:rsidRDefault="00CA37A0" w:rsidP="00A269FD">
            <w:pPr>
              <w:spacing w:before="60" w:after="60"/>
              <w:rPr>
                <w:u w:val="single"/>
              </w:rPr>
            </w:pPr>
          </w:p>
        </w:tc>
      </w:tr>
      <w:tr w:rsidR="00CA37A0" w:rsidRPr="00890BA7" w:rsidTr="00CE3741">
        <w:trPr>
          <w:cantSplit/>
          <w:jc w:val="center"/>
        </w:trPr>
        <w:tc>
          <w:tcPr>
            <w:tcW w:w="2405" w:type="dxa"/>
            <w:vAlign w:val="center"/>
          </w:tcPr>
          <w:p w:rsidR="00CA37A0" w:rsidRPr="00BE21B9" w:rsidRDefault="00CA37A0" w:rsidP="00CA37A0">
            <w:pPr>
              <w:pStyle w:val="ListParagraph"/>
              <w:numPr>
                <w:ilvl w:val="0"/>
                <w:numId w:val="19"/>
              </w:numPr>
              <w:spacing w:before="60" w:after="60"/>
            </w:pPr>
            <w:r w:rsidRPr="006B2303">
              <w:t>PCB180</w:t>
            </w:r>
          </w:p>
        </w:tc>
        <w:tc>
          <w:tcPr>
            <w:tcW w:w="992" w:type="dxa"/>
            <w:vAlign w:val="center"/>
          </w:tcPr>
          <w:p w:rsidR="00CA37A0" w:rsidRPr="00824DE8" w:rsidRDefault="00CA37A0" w:rsidP="00A269FD">
            <w:pPr>
              <w:spacing w:before="60" w:after="60"/>
              <w:jc w:val="center"/>
            </w:pPr>
          </w:p>
        </w:tc>
        <w:tc>
          <w:tcPr>
            <w:tcW w:w="1701" w:type="dxa"/>
            <w:vAlign w:val="center"/>
          </w:tcPr>
          <w:p w:rsidR="00CA37A0" w:rsidRPr="00544D44" w:rsidRDefault="00CA37A0" w:rsidP="00A269FD">
            <w:pPr>
              <w:spacing w:before="60" w:after="60"/>
              <w:jc w:val="center"/>
              <w:rPr>
                <w:u w:val="single"/>
              </w:rPr>
            </w:pPr>
          </w:p>
        </w:tc>
        <w:tc>
          <w:tcPr>
            <w:tcW w:w="1134" w:type="dxa"/>
            <w:vAlign w:val="center"/>
          </w:tcPr>
          <w:p w:rsidR="00CA37A0" w:rsidRPr="00544D44" w:rsidRDefault="00CA37A0" w:rsidP="00A269FD">
            <w:pPr>
              <w:spacing w:before="60" w:after="60"/>
              <w:jc w:val="center"/>
              <w:rPr>
                <w:u w:val="single"/>
              </w:rPr>
            </w:pPr>
            <w:r>
              <w:rPr>
                <w:u w:val="single"/>
              </w:rPr>
              <w:t>12</w:t>
            </w:r>
          </w:p>
        </w:tc>
        <w:tc>
          <w:tcPr>
            <w:tcW w:w="993" w:type="dxa"/>
            <w:tcBorders>
              <w:right w:val="single" w:sz="4" w:space="0" w:color="auto"/>
            </w:tcBorders>
            <w:vAlign w:val="center"/>
          </w:tcPr>
          <w:p w:rsidR="00CA37A0" w:rsidRPr="00544D44" w:rsidRDefault="00CA37A0" w:rsidP="00A269FD">
            <w:pPr>
              <w:spacing w:before="60" w:after="60"/>
              <w:jc w:val="center"/>
              <w:rPr>
                <w:u w:val="single"/>
              </w:rPr>
            </w:pPr>
            <w:r>
              <w:rPr>
                <w:u w:val="single"/>
              </w:rPr>
              <w:t>480</w:t>
            </w:r>
          </w:p>
        </w:tc>
        <w:tc>
          <w:tcPr>
            <w:tcW w:w="2551" w:type="dxa"/>
            <w:tcBorders>
              <w:top w:val="nil"/>
              <w:left w:val="single" w:sz="4" w:space="0" w:color="auto"/>
              <w:bottom w:val="single" w:sz="4" w:space="0" w:color="auto"/>
              <w:right w:val="single" w:sz="4" w:space="0" w:color="auto"/>
            </w:tcBorders>
            <w:vAlign w:val="center"/>
          </w:tcPr>
          <w:p w:rsidR="00CA37A0" w:rsidRDefault="00CA37A0" w:rsidP="00A269FD">
            <w:pPr>
              <w:spacing w:before="60" w:after="60"/>
              <w:rPr>
                <w:u w:val="single"/>
              </w:rPr>
            </w:pPr>
          </w:p>
        </w:tc>
      </w:tr>
      <w:tr w:rsidR="00CA37A0" w:rsidRPr="00890BA7" w:rsidTr="00CE3741">
        <w:trPr>
          <w:cantSplit/>
          <w:jc w:val="center"/>
        </w:trPr>
        <w:tc>
          <w:tcPr>
            <w:tcW w:w="2405" w:type="dxa"/>
            <w:vAlign w:val="center"/>
          </w:tcPr>
          <w:p w:rsidR="00CA37A0" w:rsidRPr="00824DE8" w:rsidRDefault="00CA37A0" w:rsidP="00A269FD">
            <w:pPr>
              <w:spacing w:before="60" w:after="60"/>
            </w:pPr>
            <w:r>
              <w:t>PCBs</w:t>
            </w:r>
          </w:p>
        </w:tc>
        <w:tc>
          <w:tcPr>
            <w:tcW w:w="992" w:type="dxa"/>
            <w:vAlign w:val="center"/>
          </w:tcPr>
          <w:p w:rsidR="00CA37A0" w:rsidRPr="00824DE8" w:rsidRDefault="00CA37A0" w:rsidP="00A269FD">
            <w:pPr>
              <w:spacing w:before="60" w:after="60"/>
              <w:jc w:val="center"/>
            </w:pPr>
            <w:r w:rsidRPr="00824DE8">
              <w:t>-</w:t>
            </w:r>
          </w:p>
        </w:tc>
        <w:tc>
          <w:tcPr>
            <w:tcW w:w="1701" w:type="dxa"/>
            <w:vAlign w:val="center"/>
          </w:tcPr>
          <w:p w:rsidR="00CA37A0" w:rsidRPr="00544D44" w:rsidRDefault="00CA37A0" w:rsidP="00A269FD">
            <w:pPr>
              <w:spacing w:before="60" w:after="60"/>
              <w:jc w:val="center"/>
              <w:rPr>
                <w:u w:val="single"/>
              </w:rPr>
            </w:pPr>
            <w:r>
              <w:t>15 ng/l</w:t>
            </w:r>
          </w:p>
        </w:tc>
        <w:tc>
          <w:tcPr>
            <w:tcW w:w="1134" w:type="dxa"/>
            <w:vAlign w:val="center"/>
          </w:tcPr>
          <w:p w:rsidR="00CA37A0" w:rsidRPr="00544D44" w:rsidRDefault="00CA37A0" w:rsidP="00A269FD">
            <w:pPr>
              <w:spacing w:before="60" w:after="60"/>
              <w:jc w:val="center"/>
              <w:rPr>
                <w:u w:val="single"/>
              </w:rPr>
            </w:pPr>
            <w:r w:rsidRPr="00824DE8">
              <w:t>-</w:t>
            </w:r>
          </w:p>
        </w:tc>
        <w:tc>
          <w:tcPr>
            <w:tcW w:w="993" w:type="dxa"/>
            <w:vAlign w:val="center"/>
          </w:tcPr>
          <w:p w:rsidR="00CA37A0" w:rsidRPr="00544D44" w:rsidRDefault="00CA37A0" w:rsidP="00A269FD">
            <w:pPr>
              <w:spacing w:before="60" w:after="60"/>
              <w:jc w:val="center"/>
              <w:rPr>
                <w:u w:val="single"/>
              </w:rPr>
            </w:pPr>
            <w:r w:rsidRPr="00824DE8">
              <w:t>-</w:t>
            </w:r>
          </w:p>
        </w:tc>
        <w:tc>
          <w:tcPr>
            <w:tcW w:w="2551" w:type="dxa"/>
            <w:tcBorders>
              <w:top w:val="single" w:sz="4" w:space="0" w:color="auto"/>
            </w:tcBorders>
            <w:vAlign w:val="center"/>
          </w:tcPr>
          <w:p w:rsidR="00CA37A0" w:rsidRDefault="00CA37A0" w:rsidP="00A269FD">
            <w:pPr>
              <w:spacing w:before="60" w:after="60"/>
            </w:pPr>
            <w:r>
              <w:t>For discharges into water, no individual PCB (from the list of PCBs in the table) should exceed 15 ng/l.</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pH</w:t>
            </w:r>
          </w:p>
        </w:tc>
        <w:tc>
          <w:tcPr>
            <w:tcW w:w="992" w:type="dxa"/>
            <w:vAlign w:val="center"/>
          </w:tcPr>
          <w:p w:rsidR="00CA37A0" w:rsidRPr="00824DE8" w:rsidRDefault="00CA37A0" w:rsidP="00A269FD">
            <w:pPr>
              <w:spacing w:before="60" w:after="60"/>
              <w:jc w:val="center"/>
            </w:pPr>
            <w:r w:rsidRPr="00824DE8">
              <w:t>-</w:t>
            </w:r>
          </w:p>
        </w:tc>
        <w:tc>
          <w:tcPr>
            <w:tcW w:w="1701" w:type="dxa"/>
            <w:vAlign w:val="center"/>
          </w:tcPr>
          <w:p w:rsidR="00CA37A0" w:rsidRPr="00824DE8" w:rsidRDefault="00CA37A0" w:rsidP="00A269FD">
            <w:pPr>
              <w:spacing w:before="60" w:after="60"/>
              <w:jc w:val="center"/>
            </w:pPr>
            <w:r w:rsidRPr="00544D44">
              <w:rPr>
                <w:u w:val="single"/>
              </w:rPr>
              <w:t>&gt;</w:t>
            </w:r>
            <w:r w:rsidRPr="00824DE8">
              <w:t xml:space="preserve">6 and </w:t>
            </w:r>
            <w:r w:rsidRPr="00544D44">
              <w:rPr>
                <w:u w:val="single"/>
              </w:rPr>
              <w:t>&lt;</w:t>
            </w:r>
            <w:r w:rsidRPr="00824DE8">
              <w:t>9</w:t>
            </w:r>
            <w:r>
              <w:t>*</w:t>
            </w:r>
          </w:p>
        </w:tc>
        <w:tc>
          <w:tcPr>
            <w:tcW w:w="1134" w:type="dxa"/>
            <w:vAlign w:val="center"/>
          </w:tcPr>
          <w:p w:rsidR="00CA37A0" w:rsidRPr="00544D44" w:rsidRDefault="00CA37A0" w:rsidP="00A269FD">
            <w:pPr>
              <w:spacing w:before="60" w:after="60"/>
              <w:jc w:val="center"/>
              <w:rPr>
                <w:u w:val="single"/>
              </w:rPr>
            </w:pPr>
          </w:p>
        </w:tc>
        <w:tc>
          <w:tcPr>
            <w:tcW w:w="993" w:type="dxa"/>
            <w:vAlign w:val="center"/>
          </w:tcPr>
          <w:p w:rsidR="00CA37A0" w:rsidRPr="00544D44" w:rsidRDefault="00CA37A0" w:rsidP="00A269FD">
            <w:pPr>
              <w:spacing w:before="60" w:after="60"/>
              <w:jc w:val="center"/>
              <w:rPr>
                <w:u w:val="single"/>
              </w:rPr>
            </w:pPr>
          </w:p>
        </w:tc>
        <w:tc>
          <w:tcPr>
            <w:tcW w:w="2551" w:type="dxa"/>
            <w:tcBorders>
              <w:top w:val="single" w:sz="4" w:space="0" w:color="auto"/>
            </w:tcBorders>
            <w:vAlign w:val="center"/>
          </w:tcPr>
          <w:p w:rsidR="00CA37A0" w:rsidRPr="00544D44" w:rsidRDefault="00CA37A0" w:rsidP="00A269FD">
            <w:pPr>
              <w:spacing w:before="60" w:after="60"/>
              <w:rPr>
                <w:u w:val="single"/>
              </w:rPr>
            </w:pPr>
            <w:r>
              <w:t>For control of algal blooms</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Tributyltin</w:t>
            </w:r>
          </w:p>
        </w:tc>
        <w:tc>
          <w:tcPr>
            <w:tcW w:w="992" w:type="dxa"/>
            <w:vAlign w:val="center"/>
          </w:tcPr>
          <w:p w:rsidR="00CA37A0" w:rsidRPr="00824DE8" w:rsidRDefault="00CA37A0" w:rsidP="00A269FD">
            <w:pPr>
              <w:spacing w:before="60" w:after="60"/>
              <w:jc w:val="center"/>
            </w:pPr>
            <w:r w:rsidRPr="00824DE8">
              <w:t>0.0002</w:t>
            </w:r>
          </w:p>
        </w:tc>
        <w:tc>
          <w:tcPr>
            <w:tcW w:w="1701" w:type="dxa"/>
            <w:vAlign w:val="center"/>
          </w:tcPr>
          <w:p w:rsidR="00CA37A0" w:rsidRPr="00824DE8" w:rsidRDefault="00CA37A0" w:rsidP="00A269FD">
            <w:pPr>
              <w:spacing w:before="60" w:after="60"/>
              <w:jc w:val="center"/>
            </w:pPr>
            <w:r w:rsidRPr="00824DE8">
              <w:t>0.0015</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May cause toxicological effects in shellfish</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Unionised ammonia</w:t>
            </w:r>
          </w:p>
        </w:tc>
        <w:tc>
          <w:tcPr>
            <w:tcW w:w="992" w:type="dxa"/>
            <w:vAlign w:val="center"/>
          </w:tcPr>
          <w:p w:rsidR="00CA37A0" w:rsidRPr="00824DE8" w:rsidRDefault="00CA37A0" w:rsidP="00A269FD">
            <w:pPr>
              <w:spacing w:before="60" w:after="60"/>
              <w:jc w:val="center"/>
            </w:pPr>
            <w:r w:rsidRPr="00824DE8">
              <w:t>21</w:t>
            </w:r>
          </w:p>
        </w:tc>
        <w:tc>
          <w:tcPr>
            <w:tcW w:w="1701" w:type="dxa"/>
            <w:vAlign w:val="center"/>
          </w:tcPr>
          <w:p w:rsidR="00CA37A0" w:rsidRPr="00824DE8" w:rsidRDefault="00CA37A0" w:rsidP="00A269FD">
            <w:pPr>
              <w:spacing w:before="60" w:after="60"/>
              <w:jc w:val="center"/>
            </w:pPr>
            <w:r w:rsidRPr="00824DE8">
              <w:t>-</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May cause toxicological effects in fish</w:t>
            </w:r>
          </w:p>
        </w:tc>
      </w:tr>
      <w:tr w:rsidR="00CA37A0" w:rsidRPr="00890BA7" w:rsidTr="00CE3741">
        <w:trPr>
          <w:cantSplit/>
          <w:jc w:val="center"/>
        </w:trPr>
        <w:tc>
          <w:tcPr>
            <w:tcW w:w="2405" w:type="dxa"/>
            <w:vAlign w:val="center"/>
          </w:tcPr>
          <w:p w:rsidR="00CA37A0" w:rsidRPr="00824DE8" w:rsidRDefault="00CA37A0" w:rsidP="00A269FD">
            <w:pPr>
              <w:spacing w:before="60" w:after="60"/>
            </w:pPr>
            <w:r w:rsidRPr="00824DE8">
              <w:t>Zinc</w:t>
            </w:r>
          </w:p>
        </w:tc>
        <w:tc>
          <w:tcPr>
            <w:tcW w:w="992" w:type="dxa"/>
            <w:vAlign w:val="center"/>
          </w:tcPr>
          <w:p w:rsidR="00CA37A0" w:rsidRPr="00824DE8" w:rsidRDefault="00CA37A0" w:rsidP="00A269FD">
            <w:pPr>
              <w:spacing w:before="60" w:after="60"/>
              <w:jc w:val="center"/>
            </w:pPr>
            <w:r w:rsidRPr="00824DE8">
              <w:t>6.8</w:t>
            </w:r>
          </w:p>
        </w:tc>
        <w:tc>
          <w:tcPr>
            <w:tcW w:w="1701" w:type="dxa"/>
            <w:vAlign w:val="center"/>
          </w:tcPr>
          <w:p w:rsidR="00CA37A0" w:rsidRPr="00824DE8" w:rsidRDefault="00CA37A0" w:rsidP="00A269FD">
            <w:pPr>
              <w:spacing w:before="60" w:after="60"/>
              <w:jc w:val="center"/>
            </w:pPr>
            <w:r w:rsidRPr="00824DE8">
              <w:t>-</w:t>
            </w:r>
          </w:p>
        </w:tc>
        <w:tc>
          <w:tcPr>
            <w:tcW w:w="1134" w:type="dxa"/>
            <w:vAlign w:val="center"/>
          </w:tcPr>
          <w:p w:rsidR="00CA37A0" w:rsidRPr="00824DE8" w:rsidRDefault="00CA37A0" w:rsidP="00A269FD">
            <w:pPr>
              <w:spacing w:before="60" w:after="60"/>
              <w:jc w:val="center"/>
            </w:pPr>
          </w:p>
        </w:tc>
        <w:tc>
          <w:tcPr>
            <w:tcW w:w="993" w:type="dxa"/>
            <w:vAlign w:val="center"/>
          </w:tcPr>
          <w:p w:rsidR="00CA37A0" w:rsidRPr="00824DE8" w:rsidRDefault="00CA37A0" w:rsidP="00A269FD">
            <w:pPr>
              <w:spacing w:before="60" w:after="60"/>
              <w:jc w:val="center"/>
            </w:pPr>
          </w:p>
        </w:tc>
        <w:tc>
          <w:tcPr>
            <w:tcW w:w="2551" w:type="dxa"/>
            <w:vAlign w:val="center"/>
          </w:tcPr>
          <w:p w:rsidR="00CA37A0" w:rsidRPr="00824DE8" w:rsidRDefault="00CA37A0" w:rsidP="00A269FD">
            <w:pPr>
              <w:spacing w:before="60" w:after="60"/>
            </w:pPr>
            <w:r>
              <w:t>May bioaccumulate in shellfish and fish</w:t>
            </w:r>
          </w:p>
        </w:tc>
      </w:tr>
    </w:tbl>
    <w:p w:rsidR="00CA37A0" w:rsidRDefault="00F96911" w:rsidP="00CA37A0">
      <w:r>
        <w:rPr>
          <w:noProof/>
          <w:lang w:eastAsia="en-GB"/>
        </w:rPr>
        <mc:AlternateContent>
          <mc:Choice Requires="wps">
            <w:drawing>
              <wp:anchor distT="0" distB="0" distL="114300" distR="114300" simplePos="0" relativeHeight="251671552" behindDoc="0" locked="0" layoutInCell="1" allowOverlap="1" wp14:anchorId="5032CD95" wp14:editId="2D625AA3">
                <wp:simplePos x="0" y="0"/>
                <wp:positionH relativeFrom="margin">
                  <wp:align>center</wp:align>
                </wp:positionH>
                <wp:positionV relativeFrom="paragraph">
                  <wp:posOffset>60325</wp:posOffset>
                </wp:positionV>
                <wp:extent cx="6153150" cy="45434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153150" cy="4543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A39D4F" id="Rounded Rectangle 9" o:spid="_x0000_s1026" style="position:absolute;margin-left:0;margin-top:4.75pt;width:484.5pt;height:357.7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" filled="f" strokecolor="black [3213]" strokeweight="2pt">
                <w10:wrap anchorx="margin"/>
              </v:roundrect>
            </w:pict>
          </mc:Fallback>
        </mc:AlternateContent>
      </w:r>
    </w:p>
    <w:p w:rsidR="00F96911" w:rsidRDefault="00F96911" w:rsidP="009C7B1D">
      <w:pPr>
        <w:pStyle w:val="ListParagraph"/>
        <w:ind w:left="1440"/>
        <w:sectPr w:rsidR="00F96911">
          <w:pgSz w:w="11906" w:h="16838"/>
          <w:pgMar w:top="1440" w:right="1440" w:bottom="1440" w:left="1440" w:header="708" w:footer="708" w:gutter="0"/>
          <w:cols w:space="708"/>
          <w:docGrid w:linePitch="360"/>
        </w:sectPr>
      </w:pPr>
    </w:p>
    <w:p w:rsidR="00B60F39" w:rsidRPr="00B60F39" w:rsidRDefault="00B60F39" w:rsidP="00B60F39">
      <w:pPr>
        <w:rPr>
          <w:b/>
        </w:rPr>
      </w:pPr>
      <w:r>
        <w:rPr>
          <w:b/>
        </w:rPr>
        <w:lastRenderedPageBreak/>
        <w:t>Question 4</w:t>
      </w:r>
    </w:p>
    <w:p w:rsidR="00B60F39" w:rsidRDefault="00B60F39" w:rsidP="00B60F39">
      <w:r>
        <w:t xml:space="preserve">Bathing water quality is important for the protection of the public health and tourism. </w:t>
      </w:r>
      <w:r w:rsidR="006F2460">
        <w:t>Each</w:t>
      </w:r>
      <w:r>
        <w:t xml:space="preserve"> designated bathing water </w:t>
      </w:r>
      <w:r w:rsidR="006F2460">
        <w:t>in the Isle of Man</w:t>
      </w:r>
      <w:r w:rsidR="00716E55">
        <w:t xml:space="preserve"> </w:t>
      </w:r>
      <w:r w:rsidR="006F2460">
        <w:t>will have</w:t>
      </w:r>
      <w:r>
        <w:t xml:space="preserve"> information </w:t>
      </w:r>
      <w:r w:rsidR="006F2460">
        <w:t xml:space="preserve">available </w:t>
      </w:r>
      <w:r>
        <w:t xml:space="preserve">on the </w:t>
      </w:r>
      <w:r w:rsidR="00B03952">
        <w:t>catchment</w:t>
      </w:r>
      <w:r>
        <w:t xml:space="preserve"> in terms of sewerage infrastructure, potential sources of pollution and previous monitoring results. All of this information will allow the public to decide when and where to bathe</w:t>
      </w:r>
      <w:r w:rsidR="00AF0C0F">
        <w:t xml:space="preserve"> and a target of ‘Good’ status has been </w:t>
      </w:r>
      <w:r w:rsidR="00B03952">
        <w:t xml:space="preserve">agreed by Tynwald as the minimum standard. </w:t>
      </w:r>
      <w:r w:rsidR="00AF0C0F">
        <w:t xml:space="preserve"> </w:t>
      </w:r>
      <w:r>
        <w:t xml:space="preserve"> </w:t>
      </w:r>
    </w:p>
    <w:p w:rsidR="00B60F39" w:rsidRDefault="00B60F39" w:rsidP="00B60F39">
      <w:r>
        <w:t xml:space="preserve">The standards outlined in Table 3 are the same </w:t>
      </w:r>
      <w:r w:rsidR="00AF0C0F">
        <w:t>as</w:t>
      </w:r>
      <w:r>
        <w:t xml:space="preserve"> the EU 2006 Bathing Water Directive which has been adopted by the UK and across Europe. By bringing the Isle of Man standards in line with other jurisdictions it will benefit tourists </w:t>
      </w:r>
      <w:r w:rsidR="00AF0C0F">
        <w:t xml:space="preserve">and locals as more information will be available for each location and the signage will be similar to other countries.  </w:t>
      </w:r>
    </w:p>
    <w:p w:rsidR="009C7B1D" w:rsidRDefault="009C7B1D" w:rsidP="00B60F39">
      <w:r>
        <w:t xml:space="preserve">Please provide your views on the Bathing Water EQS detailed in </w:t>
      </w:r>
      <w:r w:rsidR="00CA37A0">
        <w:t>Table</w:t>
      </w:r>
      <w:r w:rsidR="00B91529">
        <w:t xml:space="preserve"> 3. </w:t>
      </w:r>
    </w:p>
    <w:p w:rsidR="004A12C0" w:rsidRDefault="004A12C0" w:rsidP="004A12C0">
      <w:r w:rsidRPr="008E2776">
        <w:t xml:space="preserve">More </w:t>
      </w:r>
      <w:r w:rsidR="00BE17CF">
        <w:t>information can be found in Section 4.2 of the APEM</w:t>
      </w:r>
      <w:r w:rsidRPr="008E2776">
        <w:t xml:space="preserve"> report on </w:t>
      </w:r>
      <w:r w:rsidR="00BE17CF">
        <w:t>p</w:t>
      </w:r>
      <w:r w:rsidRPr="008E2776">
        <w:t>ropose</w:t>
      </w:r>
      <w:r>
        <w:t>d EQS for the Isle of</w:t>
      </w:r>
      <w:r w:rsidR="00BE17CF">
        <w:t xml:space="preserve"> Man</w:t>
      </w:r>
      <w:r>
        <w:t>;</w:t>
      </w:r>
      <w:r w:rsidRPr="008E2776">
        <w:t> </w:t>
      </w:r>
      <w:hyperlink r:id="rId17" w:history="1">
        <w:r w:rsidRPr="00356CAB">
          <w:rPr>
            <w:rStyle w:val="Hyperlink"/>
          </w:rPr>
          <w:t>https://www.gov.im/media/1369698/proposed-eqs-apem-report.pdf</w:t>
        </w:r>
      </w:hyperlink>
      <w:r>
        <w:t xml:space="preserve"> </w:t>
      </w:r>
    </w:p>
    <w:p w:rsidR="00CA37A0" w:rsidRDefault="00CA37A0" w:rsidP="00CA37A0">
      <w:pPr>
        <w:pStyle w:val="Caption"/>
        <w:keepNext/>
      </w:pPr>
      <w:r>
        <w:t xml:space="preserve">Table </w:t>
      </w:r>
      <w:fldSimple w:instr=" SEQ Table \* ARABIC ">
        <w:r w:rsidR="004B5D93">
          <w:rPr>
            <w:noProof/>
          </w:rPr>
          <w:t>3</w:t>
        </w:r>
      </w:fldSimple>
      <w:r>
        <w:t xml:space="preserve">. </w:t>
      </w:r>
      <w:r w:rsidRPr="00044351">
        <w:t>EQS for Bathing Waters (in CFU/ 100 ml)</w:t>
      </w:r>
    </w:p>
    <w:tbl>
      <w:tblPr>
        <w:tblStyle w:val="TableGrid"/>
        <w:tblW w:w="0" w:type="auto"/>
        <w:jc w:val="center"/>
        <w:tblLook w:val="04A0" w:firstRow="1" w:lastRow="0" w:firstColumn="1" w:lastColumn="0" w:noHBand="0" w:noVBand="1"/>
      </w:tblPr>
      <w:tblGrid>
        <w:gridCol w:w="2552"/>
        <w:gridCol w:w="2126"/>
        <w:gridCol w:w="1796"/>
        <w:gridCol w:w="1796"/>
      </w:tblGrid>
      <w:tr w:rsidR="00CA37A0" w:rsidRPr="00890BA7" w:rsidTr="00A269FD">
        <w:trPr>
          <w:jc w:val="center"/>
        </w:trPr>
        <w:tc>
          <w:tcPr>
            <w:tcW w:w="2552" w:type="dxa"/>
            <w:shd w:val="clear" w:color="auto" w:fill="00B0F0"/>
            <w:vAlign w:val="center"/>
          </w:tcPr>
          <w:p w:rsidR="00CA37A0" w:rsidRPr="00093970" w:rsidRDefault="00CA37A0" w:rsidP="00A269FD">
            <w:pPr>
              <w:spacing w:after="120"/>
              <w:jc w:val="center"/>
              <w:rPr>
                <w:b/>
                <w:bCs/>
                <w:color w:val="FFFFFF" w:themeColor="background1"/>
              </w:rPr>
            </w:pPr>
            <w:r w:rsidRPr="00093970">
              <w:rPr>
                <w:b/>
                <w:bCs/>
                <w:color w:val="FFFFFF" w:themeColor="background1"/>
              </w:rPr>
              <w:t>Parameter</w:t>
            </w:r>
          </w:p>
        </w:tc>
        <w:tc>
          <w:tcPr>
            <w:tcW w:w="2126" w:type="dxa"/>
            <w:shd w:val="clear" w:color="auto" w:fill="00B0F0"/>
            <w:vAlign w:val="center"/>
          </w:tcPr>
          <w:p w:rsidR="00CA37A0" w:rsidRPr="00093970" w:rsidRDefault="00CA37A0" w:rsidP="00A269FD">
            <w:pPr>
              <w:spacing w:after="120"/>
              <w:jc w:val="center"/>
              <w:rPr>
                <w:b/>
                <w:bCs/>
                <w:color w:val="FFFFFF" w:themeColor="background1"/>
              </w:rPr>
            </w:pPr>
            <w:r w:rsidRPr="00093970">
              <w:rPr>
                <w:b/>
                <w:bCs/>
                <w:color w:val="FFFFFF" w:themeColor="background1"/>
              </w:rPr>
              <w:t>Excellent status</w:t>
            </w:r>
          </w:p>
        </w:tc>
        <w:tc>
          <w:tcPr>
            <w:tcW w:w="1796" w:type="dxa"/>
            <w:shd w:val="clear" w:color="auto" w:fill="00B0F0"/>
            <w:vAlign w:val="center"/>
          </w:tcPr>
          <w:p w:rsidR="00CA37A0" w:rsidRPr="00093970" w:rsidRDefault="00CA37A0" w:rsidP="00A269FD">
            <w:pPr>
              <w:spacing w:after="120"/>
              <w:jc w:val="center"/>
              <w:rPr>
                <w:b/>
                <w:bCs/>
                <w:color w:val="FFFFFF" w:themeColor="background1"/>
              </w:rPr>
            </w:pPr>
            <w:r w:rsidRPr="00093970">
              <w:rPr>
                <w:b/>
                <w:bCs/>
                <w:color w:val="FFFFFF" w:themeColor="background1"/>
              </w:rPr>
              <w:t>Good status</w:t>
            </w:r>
          </w:p>
        </w:tc>
        <w:tc>
          <w:tcPr>
            <w:tcW w:w="1796" w:type="dxa"/>
            <w:shd w:val="clear" w:color="auto" w:fill="00B0F0"/>
            <w:vAlign w:val="center"/>
          </w:tcPr>
          <w:p w:rsidR="00CA37A0" w:rsidRPr="00093970" w:rsidRDefault="00CA37A0" w:rsidP="00A269FD">
            <w:pPr>
              <w:spacing w:after="120"/>
              <w:jc w:val="center"/>
              <w:rPr>
                <w:b/>
                <w:bCs/>
                <w:color w:val="FFFFFF" w:themeColor="background1"/>
              </w:rPr>
            </w:pPr>
            <w:r w:rsidRPr="00093970">
              <w:rPr>
                <w:b/>
                <w:bCs/>
                <w:color w:val="FFFFFF" w:themeColor="background1"/>
              </w:rPr>
              <w:t>Sufficient status</w:t>
            </w:r>
          </w:p>
        </w:tc>
      </w:tr>
      <w:tr w:rsidR="00CA37A0" w:rsidRPr="00890BA7" w:rsidTr="00A269FD">
        <w:trPr>
          <w:jc w:val="center"/>
        </w:trPr>
        <w:tc>
          <w:tcPr>
            <w:tcW w:w="2552" w:type="dxa"/>
          </w:tcPr>
          <w:p w:rsidR="00CA37A0" w:rsidRPr="00316DEC" w:rsidRDefault="00CA37A0" w:rsidP="00A269FD">
            <w:pPr>
              <w:spacing w:after="120"/>
              <w:jc w:val="both"/>
            </w:pPr>
            <w:r w:rsidRPr="00316DEC">
              <w:t>Intestinal enterococci</w:t>
            </w:r>
          </w:p>
        </w:tc>
        <w:tc>
          <w:tcPr>
            <w:tcW w:w="2126" w:type="dxa"/>
          </w:tcPr>
          <w:p w:rsidR="00CA37A0" w:rsidRPr="00316DEC" w:rsidRDefault="00CA37A0" w:rsidP="00A269FD">
            <w:pPr>
              <w:spacing w:after="120"/>
              <w:jc w:val="center"/>
            </w:pPr>
            <w:r w:rsidRPr="00316DEC">
              <w:t>100</w:t>
            </w:r>
          </w:p>
        </w:tc>
        <w:tc>
          <w:tcPr>
            <w:tcW w:w="1796" w:type="dxa"/>
          </w:tcPr>
          <w:p w:rsidR="00CA37A0" w:rsidRPr="00316DEC" w:rsidRDefault="00CA37A0" w:rsidP="00A269FD">
            <w:pPr>
              <w:spacing w:after="120"/>
              <w:jc w:val="center"/>
            </w:pPr>
            <w:r w:rsidRPr="00316DEC">
              <w:t>200</w:t>
            </w:r>
          </w:p>
        </w:tc>
        <w:tc>
          <w:tcPr>
            <w:tcW w:w="1796" w:type="dxa"/>
          </w:tcPr>
          <w:p w:rsidR="00CA37A0" w:rsidRPr="00316DEC" w:rsidRDefault="00CA37A0" w:rsidP="00A269FD">
            <w:pPr>
              <w:spacing w:after="120"/>
              <w:jc w:val="center"/>
            </w:pPr>
            <w:r w:rsidRPr="00316DEC">
              <w:t>185</w:t>
            </w:r>
          </w:p>
        </w:tc>
      </w:tr>
      <w:tr w:rsidR="00CA37A0" w:rsidRPr="00890BA7" w:rsidTr="00A269FD">
        <w:trPr>
          <w:jc w:val="center"/>
        </w:trPr>
        <w:tc>
          <w:tcPr>
            <w:tcW w:w="2552" w:type="dxa"/>
          </w:tcPr>
          <w:p w:rsidR="00CA37A0" w:rsidRPr="00316DEC" w:rsidRDefault="00CA37A0" w:rsidP="00A269FD">
            <w:pPr>
              <w:spacing w:after="120"/>
              <w:jc w:val="both"/>
              <w:rPr>
                <w:i/>
                <w:iCs/>
              </w:rPr>
            </w:pPr>
            <w:r w:rsidRPr="00316DEC">
              <w:rPr>
                <w:i/>
                <w:iCs/>
              </w:rPr>
              <w:t>Escherichia coli</w:t>
            </w:r>
          </w:p>
        </w:tc>
        <w:tc>
          <w:tcPr>
            <w:tcW w:w="2126" w:type="dxa"/>
          </w:tcPr>
          <w:p w:rsidR="00CA37A0" w:rsidRPr="00316DEC" w:rsidRDefault="00CA37A0" w:rsidP="00A269FD">
            <w:pPr>
              <w:spacing w:after="120"/>
              <w:jc w:val="center"/>
            </w:pPr>
            <w:r w:rsidRPr="00316DEC">
              <w:t>250</w:t>
            </w:r>
          </w:p>
        </w:tc>
        <w:tc>
          <w:tcPr>
            <w:tcW w:w="1796" w:type="dxa"/>
          </w:tcPr>
          <w:p w:rsidR="00CA37A0" w:rsidRPr="00316DEC" w:rsidRDefault="00CA37A0" w:rsidP="00A269FD">
            <w:pPr>
              <w:spacing w:after="120"/>
              <w:jc w:val="center"/>
            </w:pPr>
            <w:r w:rsidRPr="00316DEC">
              <w:t>500</w:t>
            </w:r>
          </w:p>
        </w:tc>
        <w:tc>
          <w:tcPr>
            <w:tcW w:w="1796" w:type="dxa"/>
          </w:tcPr>
          <w:p w:rsidR="00CA37A0" w:rsidRPr="00316DEC" w:rsidRDefault="00CA37A0" w:rsidP="00A269FD">
            <w:pPr>
              <w:spacing w:after="120"/>
              <w:jc w:val="center"/>
            </w:pPr>
            <w:r w:rsidRPr="00316DEC">
              <w:t>500</w:t>
            </w:r>
          </w:p>
        </w:tc>
      </w:tr>
    </w:tbl>
    <w:p w:rsidR="00780E88" w:rsidRDefault="00F96911">
      <w:pPr>
        <w:rPr>
          <w:b/>
        </w:rPr>
      </w:pPr>
      <w:r>
        <w:rPr>
          <w:b/>
          <w:noProof/>
          <w:lang w:eastAsia="en-GB"/>
        </w:rPr>
        <mc:AlternateContent>
          <mc:Choice Requires="wps">
            <w:drawing>
              <wp:anchor distT="0" distB="0" distL="114300" distR="114300" simplePos="0" relativeHeight="251672576" behindDoc="0" locked="0" layoutInCell="1" allowOverlap="1" wp14:anchorId="404AECE0" wp14:editId="2471329C">
                <wp:simplePos x="0" y="0"/>
                <wp:positionH relativeFrom="margin">
                  <wp:align>center</wp:align>
                </wp:positionH>
                <wp:positionV relativeFrom="paragraph">
                  <wp:posOffset>220345</wp:posOffset>
                </wp:positionV>
                <wp:extent cx="6019800" cy="40576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019800" cy="405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3E3A88" id="Rounded Rectangle 10" o:spid="_x0000_s1026" style="position:absolute;margin-left:0;margin-top:17.35pt;width:474pt;height:319.5pt;z-index:25167257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" filled="f" strokecolor="black [3213]" strokeweight="2pt">
                <w10:wrap anchorx="margin"/>
              </v:roundrect>
            </w:pict>
          </mc:Fallback>
        </mc:AlternateContent>
      </w: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4B5D93" w:rsidRDefault="004B5D93">
      <w:pPr>
        <w:rPr>
          <w:b/>
        </w:rPr>
      </w:pPr>
    </w:p>
    <w:p w:rsidR="00C636F1" w:rsidRDefault="00653E91" w:rsidP="006B4AA9">
      <w:pPr>
        <w:pStyle w:val="ListParagraph"/>
        <w:ind w:left="360"/>
        <w:rPr>
          <w:b/>
          <w:u w:val="single"/>
        </w:rPr>
      </w:pPr>
      <w:r w:rsidRPr="00653E91">
        <w:rPr>
          <w:b/>
          <w:u w:val="single"/>
        </w:rPr>
        <w:lastRenderedPageBreak/>
        <w:t>Section 3 – Summary of external consultant</w:t>
      </w:r>
      <w:r>
        <w:rPr>
          <w:b/>
          <w:u w:val="single"/>
        </w:rPr>
        <w:t xml:space="preserve"> (APEM)</w:t>
      </w:r>
      <w:r w:rsidRPr="00653E91">
        <w:rPr>
          <w:b/>
          <w:u w:val="single"/>
        </w:rPr>
        <w:t xml:space="preserve"> recommendations</w:t>
      </w:r>
    </w:p>
    <w:p w:rsidR="00AF0C0F" w:rsidRDefault="006F2460" w:rsidP="00E9657D">
      <w:r>
        <w:t xml:space="preserve">The external consultancy </w:t>
      </w:r>
      <w:r w:rsidR="0040340E" w:rsidRPr="00AF0C0F">
        <w:t xml:space="preserve">APEM </w:t>
      </w:r>
      <w:r>
        <w:t xml:space="preserve">was </w:t>
      </w:r>
      <w:r w:rsidR="00B03952">
        <w:t>contracted in 2019 to assist DEFA</w:t>
      </w:r>
      <w:r w:rsidR="00AF0C0F">
        <w:t xml:space="preserve"> with </w:t>
      </w:r>
      <w:r w:rsidR="00AF0C0F" w:rsidRPr="00AF0C0F">
        <w:t>introduc</w:t>
      </w:r>
      <w:r w:rsidR="00AF0C0F">
        <w:t>ing</w:t>
      </w:r>
      <w:r w:rsidR="00AF0C0F" w:rsidRPr="00AF0C0F">
        <w:t xml:space="preserve"> Environmental Quality Standards </w:t>
      </w:r>
      <w:r w:rsidR="00AF0C0F">
        <w:t xml:space="preserve">(EQS) </w:t>
      </w:r>
      <w:r w:rsidR="00AF0C0F" w:rsidRPr="00AF0C0F">
        <w:t>into</w:t>
      </w:r>
      <w:r w:rsidR="00B03952">
        <w:t xml:space="preserve"> Manx legislation to increase environmental protection.</w:t>
      </w:r>
      <w:r w:rsidR="00AF0C0F">
        <w:t xml:space="preserve"> </w:t>
      </w:r>
      <w:r w:rsidR="00AF0C0F" w:rsidRPr="00AF0C0F">
        <w:t xml:space="preserve">All of the proposed </w:t>
      </w:r>
      <w:r w:rsidR="00AF0C0F">
        <w:t xml:space="preserve">EQS </w:t>
      </w:r>
      <w:r>
        <w:t xml:space="preserve">provided in the APEM report </w:t>
      </w:r>
      <w:r w:rsidR="00AF0C0F" w:rsidRPr="00AF0C0F">
        <w:t>are in line with the current UK regulations and any amendments</w:t>
      </w:r>
      <w:r w:rsidR="00AF0C0F">
        <w:t xml:space="preserve"> to the standards</w:t>
      </w:r>
      <w:r w:rsidR="00AF0C0F" w:rsidRPr="00AF0C0F">
        <w:t xml:space="preserve"> will be reviewed by DEFA </w:t>
      </w:r>
      <w:r w:rsidR="00AF0C0F">
        <w:t xml:space="preserve">as necessary. </w:t>
      </w:r>
      <w:r w:rsidR="00AF0C0F" w:rsidRPr="00AF0C0F">
        <w:t xml:space="preserve">  </w:t>
      </w:r>
    </w:p>
    <w:p w:rsidR="0040340E" w:rsidRPr="00AF0C0F" w:rsidRDefault="00AF0C0F" w:rsidP="00E9657D">
      <w:r>
        <w:t>Within the report APEM provide a series of recommendations and DEFA would like your views on these</w:t>
      </w:r>
      <w:r w:rsidR="00BE17CF">
        <w:t xml:space="preserve">. A summary of the recommendations is included in Section 10 of the report, </w:t>
      </w:r>
      <w:hyperlink r:id="rId18" w:history="1">
        <w:r w:rsidR="00B91529" w:rsidRPr="00AF0C0F">
          <w:rPr>
            <w:rStyle w:val="Hyperlink"/>
          </w:rPr>
          <w:t>https://www.gov.im/media/1369698/proposed-eqs-apem-report.pdf</w:t>
        </w:r>
      </w:hyperlink>
      <w:r w:rsidR="0040340E" w:rsidRPr="00AF0C0F">
        <w:t xml:space="preserve">. </w:t>
      </w:r>
    </w:p>
    <w:p w:rsidR="004B5D93" w:rsidRPr="00B60F39" w:rsidRDefault="00B60F39" w:rsidP="00B60F39">
      <w:pPr>
        <w:rPr>
          <w:b/>
        </w:rPr>
      </w:pPr>
      <w:r w:rsidRPr="00B60F39">
        <w:rPr>
          <w:b/>
        </w:rPr>
        <w:t>Question 5</w:t>
      </w:r>
    </w:p>
    <w:p w:rsidR="00653E91" w:rsidRDefault="006C5926" w:rsidP="007233E2">
      <w:r w:rsidRPr="00E85F83">
        <w:t xml:space="preserve">As part of introducing WQO and EQS a review will be undertaken of the water quality objectives for all monitored </w:t>
      </w:r>
      <w:r w:rsidR="0040340E" w:rsidRPr="00E85F83">
        <w:t xml:space="preserve">sites </w:t>
      </w:r>
      <w:r w:rsidR="003D13AC">
        <w:t>which were initially set in</w:t>
      </w:r>
      <w:r w:rsidRPr="00E85F83">
        <w:t xml:space="preserve"> 2001. In line with this review APEM </w:t>
      </w:r>
      <w:r w:rsidR="006F2460">
        <w:t>has</w:t>
      </w:r>
      <w:r w:rsidR="006F2460" w:rsidRPr="00E85F83">
        <w:t xml:space="preserve"> </w:t>
      </w:r>
      <w:r w:rsidRPr="00E85F83">
        <w:t>recommended that ‘Good’ status is set as a minimum standard for all controlled waters. This is in line with the agreement by Tynwald in December 2019 to achieve ‘Good’ bathing water quality.</w:t>
      </w:r>
    </w:p>
    <w:p w:rsidR="00B60F39" w:rsidRPr="00E85F83" w:rsidRDefault="00B60F39" w:rsidP="007233E2">
      <w:r>
        <w:t xml:space="preserve">Please provide your views on the approach outlined above. </w:t>
      </w:r>
    </w:p>
    <w:p w:rsidR="00531E10" w:rsidRDefault="00CB3128" w:rsidP="007233E2">
      <w:pPr>
        <w:rPr>
          <w:color w:val="17365D" w:themeColor="text2" w:themeShade="BF"/>
        </w:rPr>
      </w:pPr>
      <w:r>
        <w:rPr>
          <w:noProof/>
          <w:color w:val="1F497D" w:themeColor="text2"/>
          <w:lang w:eastAsia="en-GB"/>
        </w:rPr>
        <mc:AlternateContent>
          <mc:Choice Requires="wps">
            <w:drawing>
              <wp:anchor distT="0" distB="0" distL="114300" distR="114300" simplePos="0" relativeHeight="251667456" behindDoc="0" locked="0" layoutInCell="1" allowOverlap="1" wp14:anchorId="2503D1DD" wp14:editId="15F701E5">
                <wp:simplePos x="0" y="0"/>
                <wp:positionH relativeFrom="margin">
                  <wp:align>center</wp:align>
                </wp:positionH>
                <wp:positionV relativeFrom="paragraph">
                  <wp:posOffset>11430</wp:posOffset>
                </wp:positionV>
                <wp:extent cx="6410325" cy="29241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410325" cy="2924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CF7100" id="Rounded Rectangle 4" o:spid="_x0000_s1026" style="position:absolute;margin-left:0;margin-top:.9pt;width:504.75pt;height:230.2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" filled="f" strokecolor="black [3213]" strokeweight="2pt">
                <w10:wrap anchorx="margin"/>
              </v:roundrect>
            </w:pict>
          </mc:Fallback>
        </mc:AlternateContent>
      </w:r>
    </w:p>
    <w:p w:rsidR="003056DD" w:rsidRDefault="003056DD" w:rsidP="007233E2">
      <w:pPr>
        <w:rPr>
          <w:color w:val="17365D" w:themeColor="text2" w:themeShade="BF"/>
        </w:rPr>
      </w:pPr>
    </w:p>
    <w:p w:rsidR="003056DD" w:rsidRDefault="003056DD" w:rsidP="007233E2">
      <w:pPr>
        <w:rPr>
          <w:color w:val="17365D" w:themeColor="text2" w:themeShade="BF"/>
        </w:rPr>
      </w:pPr>
    </w:p>
    <w:p w:rsidR="003056DD" w:rsidRDefault="003056DD" w:rsidP="007233E2">
      <w:pPr>
        <w:rPr>
          <w:color w:val="17365D" w:themeColor="text2" w:themeShade="BF"/>
        </w:rPr>
      </w:pPr>
    </w:p>
    <w:p w:rsidR="003056DD" w:rsidRDefault="003056DD" w:rsidP="007233E2">
      <w:pPr>
        <w:rPr>
          <w:color w:val="17365D" w:themeColor="text2" w:themeShade="BF"/>
        </w:rPr>
      </w:pPr>
    </w:p>
    <w:p w:rsidR="003056DD" w:rsidRPr="00DB06C0" w:rsidRDefault="003056DD" w:rsidP="007233E2">
      <w:pPr>
        <w:rPr>
          <w:color w:val="17365D" w:themeColor="text2" w:themeShade="BF"/>
        </w:rPr>
      </w:pPr>
    </w:p>
    <w:p w:rsidR="007233E2" w:rsidRDefault="007233E2" w:rsidP="007233E2"/>
    <w:p w:rsidR="003056DD" w:rsidRDefault="003056DD" w:rsidP="007233E2"/>
    <w:p w:rsidR="003056DD" w:rsidRDefault="003056DD" w:rsidP="007233E2"/>
    <w:p w:rsidR="003056DD" w:rsidRDefault="003056DD" w:rsidP="007233E2"/>
    <w:p w:rsidR="00B60F39" w:rsidRPr="00B60F39" w:rsidRDefault="00B60F39" w:rsidP="00B60F39">
      <w:pPr>
        <w:rPr>
          <w:b/>
        </w:rPr>
      </w:pPr>
      <w:r>
        <w:rPr>
          <w:b/>
        </w:rPr>
        <w:t>Question 6</w:t>
      </w:r>
    </w:p>
    <w:p w:rsidR="009A7824" w:rsidRDefault="009A7824" w:rsidP="009A7824">
      <w:r w:rsidRPr="009A7824">
        <w:t xml:space="preserve">APEM </w:t>
      </w:r>
      <w:r w:rsidR="006F2460">
        <w:t>has recommended</w:t>
      </w:r>
      <w:r w:rsidRPr="009A7824">
        <w:t xml:space="preserve"> that a risk based approach is used to identify the substances </w:t>
      </w:r>
      <w:r w:rsidR="003D13AC">
        <w:t xml:space="preserve">which require monitoring </w:t>
      </w:r>
      <w:r w:rsidRPr="009A7824">
        <w:t>in each river.</w:t>
      </w:r>
    </w:p>
    <w:p w:rsidR="009A7824" w:rsidRPr="009A7824" w:rsidRDefault="009A7824" w:rsidP="009A7824">
      <w:r>
        <w:t>This approach will enable the Isle of Man to monitor for a smaller suite of chemicals as a large proportion which are included in UK regulations will not be present on the island. More monitoring and discussions with the industry will be required to assess which chemical</w:t>
      </w:r>
      <w:r w:rsidR="003D13AC">
        <w:t>s are used and where they may</w:t>
      </w:r>
      <w:r>
        <w:t xml:space="preserve"> enter a waterbody. After this assessment has been completed a decision </w:t>
      </w:r>
      <w:r w:rsidR="003D13AC">
        <w:t xml:space="preserve">will be made on whether an </w:t>
      </w:r>
      <w:r>
        <w:t xml:space="preserve">EQS is required for the specific parameter. </w:t>
      </w:r>
    </w:p>
    <w:p w:rsidR="00AF0C0F" w:rsidRPr="009A7824" w:rsidRDefault="009A7824" w:rsidP="009A7824">
      <w:r>
        <w:lastRenderedPageBreak/>
        <w:t xml:space="preserve">In Section 5 of the APEM report a review has been completed into the environmental protection measures in other jurisdictions such as the UK, Guernsey and Jersey. This review has enabled APEM to tailor </w:t>
      </w:r>
      <w:r w:rsidR="006F2460">
        <w:t xml:space="preserve">its </w:t>
      </w:r>
      <w:r>
        <w:t xml:space="preserve">approach to the known issues and resources available on the Isle of Man. More information can be read at; </w:t>
      </w:r>
      <w:hyperlink r:id="rId19" w:history="1">
        <w:r w:rsidR="00192AA5" w:rsidRPr="00356CAB">
          <w:rPr>
            <w:rStyle w:val="Hyperlink"/>
          </w:rPr>
          <w:t>https://www.gov.im/media/1369698/proposed-eqs-apem-report.pdf</w:t>
        </w:r>
      </w:hyperlink>
      <w:r w:rsidR="00CD4881">
        <w:t xml:space="preserve"> </w:t>
      </w:r>
    </w:p>
    <w:p w:rsidR="009A7824" w:rsidRPr="009A7824" w:rsidRDefault="009A7824" w:rsidP="007233E2">
      <w:r>
        <w:rPr>
          <w:noProof/>
          <w:color w:val="1F497D" w:themeColor="text2"/>
          <w:lang w:eastAsia="en-GB"/>
        </w:rPr>
        <mc:AlternateContent>
          <mc:Choice Requires="wps">
            <w:drawing>
              <wp:anchor distT="0" distB="0" distL="114300" distR="114300" simplePos="0" relativeHeight="251668480" behindDoc="0" locked="0" layoutInCell="1" allowOverlap="1" wp14:anchorId="6BB44AC8" wp14:editId="19A8C0DB">
                <wp:simplePos x="0" y="0"/>
                <wp:positionH relativeFrom="margin">
                  <wp:posOffset>-381000</wp:posOffset>
                </wp:positionH>
                <wp:positionV relativeFrom="paragraph">
                  <wp:posOffset>332105</wp:posOffset>
                </wp:positionV>
                <wp:extent cx="6467475" cy="31146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467475" cy="3114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17F46" id="Rounded Rectangle 5" o:spid="_x0000_s1026" style="position:absolute;margin-left:-30pt;margin-top:26.15pt;width:509.25pt;height:245.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" filled="f" strokecolor="black [3213]" strokeweight="2pt">
                <w10:wrap anchorx="margin"/>
              </v:roundrect>
            </w:pict>
          </mc:Fallback>
        </mc:AlternateContent>
      </w:r>
      <w:r w:rsidRPr="009A7824">
        <w:t xml:space="preserve">Please provide your views on the risk based approach to be used on the Isle of Man. </w:t>
      </w:r>
    </w:p>
    <w:p w:rsidR="007233E2" w:rsidRPr="00DB06C0" w:rsidRDefault="00C24420" w:rsidP="007233E2">
      <w:pPr>
        <w:rPr>
          <w:color w:val="17365D" w:themeColor="text2" w:themeShade="BF"/>
        </w:rPr>
      </w:pPr>
      <w:r w:rsidRPr="00DB06C0">
        <w:rPr>
          <w:color w:val="17365D" w:themeColor="text2" w:themeShade="BF"/>
        </w:rPr>
        <w:t xml:space="preserve"> </w:t>
      </w:r>
    </w:p>
    <w:p w:rsidR="009A7824" w:rsidRDefault="009A7824" w:rsidP="00DB06C0">
      <w:pPr>
        <w:rPr>
          <w:b/>
        </w:rPr>
      </w:pPr>
    </w:p>
    <w:p w:rsidR="009A7824" w:rsidRDefault="009A7824" w:rsidP="00DB06C0">
      <w:pPr>
        <w:rPr>
          <w:b/>
        </w:rPr>
      </w:pPr>
    </w:p>
    <w:p w:rsidR="009A7824" w:rsidRDefault="009A7824" w:rsidP="00DB06C0">
      <w:pPr>
        <w:rPr>
          <w:b/>
        </w:rPr>
      </w:pPr>
    </w:p>
    <w:p w:rsidR="009A7824" w:rsidRDefault="009A7824" w:rsidP="00DB06C0">
      <w:pPr>
        <w:rPr>
          <w:b/>
        </w:rPr>
      </w:pPr>
    </w:p>
    <w:p w:rsidR="009A7824" w:rsidRDefault="009A7824" w:rsidP="00DB06C0">
      <w:pPr>
        <w:rPr>
          <w:b/>
        </w:rPr>
      </w:pPr>
    </w:p>
    <w:p w:rsidR="009A7824" w:rsidRDefault="009A7824" w:rsidP="00DB06C0">
      <w:pPr>
        <w:rPr>
          <w:b/>
        </w:rPr>
      </w:pPr>
    </w:p>
    <w:p w:rsidR="009A7824" w:rsidRDefault="009A7824" w:rsidP="00DB06C0">
      <w:pPr>
        <w:rPr>
          <w:b/>
        </w:rPr>
      </w:pPr>
    </w:p>
    <w:p w:rsidR="009A7824" w:rsidRDefault="009A7824" w:rsidP="00DB06C0">
      <w:pPr>
        <w:rPr>
          <w:b/>
        </w:rPr>
      </w:pPr>
    </w:p>
    <w:p w:rsidR="009A7824" w:rsidRDefault="009A7824" w:rsidP="00DB06C0">
      <w:pPr>
        <w:rPr>
          <w:b/>
        </w:rPr>
      </w:pPr>
    </w:p>
    <w:p w:rsidR="00B60F39" w:rsidRPr="00B60F39" w:rsidRDefault="00B60F39" w:rsidP="00DB06C0">
      <w:pPr>
        <w:rPr>
          <w:b/>
        </w:rPr>
      </w:pPr>
      <w:r>
        <w:rPr>
          <w:b/>
        </w:rPr>
        <w:t>Question 7</w:t>
      </w:r>
    </w:p>
    <w:p w:rsidR="00DB06C0" w:rsidRPr="00872729" w:rsidRDefault="00DB06C0" w:rsidP="00DB06C0">
      <w:r w:rsidRPr="00872729">
        <w:t xml:space="preserve">APEM </w:t>
      </w:r>
      <w:r w:rsidR="006F2460">
        <w:t>has</w:t>
      </w:r>
      <w:r w:rsidR="006F2460" w:rsidRPr="00872729">
        <w:t xml:space="preserve"> </w:t>
      </w:r>
      <w:r w:rsidRPr="00872729">
        <w:t>recommended to update the nutrient and chemical environmental quality standards</w:t>
      </w:r>
      <w:r w:rsidR="009A7824">
        <w:t xml:space="preserve"> in line with UK standards</w:t>
      </w:r>
      <w:r w:rsidR="003D13AC">
        <w:t xml:space="preserve">. More information is included in </w:t>
      </w:r>
      <w:r w:rsidR="009A7824">
        <w:t>Sections 4.4 and 4.6</w:t>
      </w:r>
      <w:r w:rsidR="003D13AC">
        <w:t xml:space="preserve"> of the report</w:t>
      </w:r>
      <w:r w:rsidR="009A7824">
        <w:t>,</w:t>
      </w:r>
      <w:r w:rsidR="003035F8">
        <w:t xml:space="preserve"> </w:t>
      </w:r>
      <w:hyperlink r:id="rId20" w:history="1">
        <w:r w:rsidR="003035F8" w:rsidRPr="00356CAB">
          <w:rPr>
            <w:rStyle w:val="Hyperlink"/>
          </w:rPr>
          <w:t>https://www.gov.im/media/1369698/proposed-eqs-apem-report.pdf</w:t>
        </w:r>
      </w:hyperlink>
    </w:p>
    <w:p w:rsidR="009A7824" w:rsidRPr="00872729" w:rsidRDefault="009A7824" w:rsidP="009A7824">
      <w:r w:rsidRPr="00872729">
        <w:t xml:space="preserve">Chemical environmental quality standards will be developed if they are in widespread use or pose a potential risk to the water quality. This assessment will be made using current records and then target monitoring in known locations to assess concentrations to determine its impact on water quality.     </w:t>
      </w:r>
    </w:p>
    <w:p w:rsidR="00214A31" w:rsidRPr="00872729" w:rsidRDefault="00DB06C0" w:rsidP="00214A31">
      <w:pPr>
        <w:rPr>
          <w:bCs/>
        </w:rPr>
      </w:pPr>
      <w:r w:rsidRPr="00872729">
        <w:rPr>
          <w:bCs/>
        </w:rPr>
        <w:t xml:space="preserve">Agricultural pollution can enter the marine environment by run off from agricultural land or by entering drainage ditches which lead to a nearby watercourse. </w:t>
      </w:r>
      <w:r w:rsidR="00214A31" w:rsidRPr="00872729">
        <w:rPr>
          <w:bCs/>
        </w:rPr>
        <w:t>The main pollutants are;</w:t>
      </w:r>
    </w:p>
    <w:p w:rsidR="00214A31" w:rsidRPr="00872729" w:rsidRDefault="00214A31" w:rsidP="00214A31">
      <w:pPr>
        <w:pStyle w:val="ListParagraph"/>
        <w:numPr>
          <w:ilvl w:val="0"/>
          <w:numId w:val="16"/>
        </w:numPr>
        <w:rPr>
          <w:bCs/>
        </w:rPr>
      </w:pPr>
      <w:r w:rsidRPr="00872729">
        <w:rPr>
          <w:bCs/>
        </w:rPr>
        <w:t>Nutrients (phosphates and nitrates)</w:t>
      </w:r>
    </w:p>
    <w:p w:rsidR="00214A31" w:rsidRPr="00872729" w:rsidRDefault="00214A31" w:rsidP="00214A31">
      <w:pPr>
        <w:pStyle w:val="ListParagraph"/>
        <w:numPr>
          <w:ilvl w:val="0"/>
          <w:numId w:val="16"/>
        </w:numPr>
        <w:rPr>
          <w:bCs/>
        </w:rPr>
      </w:pPr>
      <w:r w:rsidRPr="00872729">
        <w:rPr>
          <w:bCs/>
        </w:rPr>
        <w:t>Chemicals including pesticides and veterinary medicines</w:t>
      </w:r>
    </w:p>
    <w:p w:rsidR="00214A31" w:rsidRPr="00872729" w:rsidRDefault="00214A31" w:rsidP="00214A31">
      <w:pPr>
        <w:pStyle w:val="ListParagraph"/>
        <w:numPr>
          <w:ilvl w:val="0"/>
          <w:numId w:val="16"/>
        </w:numPr>
        <w:rPr>
          <w:bCs/>
        </w:rPr>
      </w:pPr>
      <w:r w:rsidRPr="00872729">
        <w:rPr>
          <w:bCs/>
        </w:rPr>
        <w:t>Faecal bacteria and pathogens</w:t>
      </w:r>
    </w:p>
    <w:p w:rsidR="00214A31" w:rsidRPr="00872729" w:rsidRDefault="00214A31" w:rsidP="00214A31">
      <w:pPr>
        <w:pStyle w:val="ListParagraph"/>
        <w:numPr>
          <w:ilvl w:val="0"/>
          <w:numId w:val="16"/>
        </w:numPr>
        <w:rPr>
          <w:bCs/>
        </w:rPr>
      </w:pPr>
      <w:r w:rsidRPr="00872729">
        <w:rPr>
          <w:bCs/>
        </w:rPr>
        <w:t>Soil sediment</w:t>
      </w:r>
    </w:p>
    <w:p w:rsidR="00214A31" w:rsidRPr="00872729" w:rsidRDefault="00214A31" w:rsidP="00214A31">
      <w:pPr>
        <w:pStyle w:val="ListParagraph"/>
        <w:numPr>
          <w:ilvl w:val="0"/>
          <w:numId w:val="16"/>
        </w:numPr>
        <w:rPr>
          <w:bCs/>
        </w:rPr>
      </w:pPr>
      <w:r w:rsidRPr="00872729">
        <w:rPr>
          <w:bCs/>
        </w:rPr>
        <w:t>Micro plastics</w:t>
      </w:r>
    </w:p>
    <w:p w:rsidR="00214A31" w:rsidRPr="00872729" w:rsidRDefault="00214A31" w:rsidP="00214A31">
      <w:pPr>
        <w:rPr>
          <w:bCs/>
        </w:rPr>
      </w:pPr>
      <w:r w:rsidRPr="00872729">
        <w:rPr>
          <w:bCs/>
        </w:rPr>
        <w:t>The pressures and impacts on water quality from the above pollutants includes;</w:t>
      </w:r>
    </w:p>
    <w:p w:rsidR="00214A31" w:rsidRPr="00872729" w:rsidRDefault="00214A31" w:rsidP="00214A31">
      <w:pPr>
        <w:pStyle w:val="ListParagraph"/>
        <w:numPr>
          <w:ilvl w:val="0"/>
          <w:numId w:val="17"/>
        </w:numPr>
        <w:rPr>
          <w:bCs/>
        </w:rPr>
      </w:pPr>
      <w:r w:rsidRPr="00872729">
        <w:rPr>
          <w:bCs/>
        </w:rPr>
        <w:t>Eutrophication</w:t>
      </w:r>
    </w:p>
    <w:p w:rsidR="00214A31" w:rsidRPr="00872729" w:rsidRDefault="00214A31" w:rsidP="00214A31">
      <w:pPr>
        <w:pStyle w:val="ListParagraph"/>
        <w:numPr>
          <w:ilvl w:val="0"/>
          <w:numId w:val="17"/>
        </w:numPr>
        <w:rPr>
          <w:bCs/>
        </w:rPr>
      </w:pPr>
      <w:r w:rsidRPr="00872729">
        <w:rPr>
          <w:bCs/>
        </w:rPr>
        <w:t>Loss of biodiversity</w:t>
      </w:r>
    </w:p>
    <w:p w:rsidR="00214A31" w:rsidRPr="00872729" w:rsidRDefault="00214A31" w:rsidP="00214A31">
      <w:pPr>
        <w:pStyle w:val="ListParagraph"/>
        <w:numPr>
          <w:ilvl w:val="0"/>
          <w:numId w:val="17"/>
        </w:numPr>
        <w:rPr>
          <w:bCs/>
        </w:rPr>
      </w:pPr>
      <w:r w:rsidRPr="00872729">
        <w:rPr>
          <w:bCs/>
        </w:rPr>
        <w:lastRenderedPageBreak/>
        <w:t>Silting of fish spawning grounds</w:t>
      </w:r>
    </w:p>
    <w:p w:rsidR="00214A31" w:rsidRPr="00872729" w:rsidRDefault="00214A31" w:rsidP="00214A31">
      <w:pPr>
        <w:pStyle w:val="ListParagraph"/>
        <w:numPr>
          <w:ilvl w:val="0"/>
          <w:numId w:val="17"/>
        </w:numPr>
        <w:rPr>
          <w:bCs/>
        </w:rPr>
      </w:pPr>
      <w:r w:rsidRPr="00872729">
        <w:rPr>
          <w:bCs/>
        </w:rPr>
        <w:t>Risks to human health via bathing and water contact sports</w:t>
      </w:r>
    </w:p>
    <w:p w:rsidR="00214A31" w:rsidRPr="00872729" w:rsidRDefault="00214A31" w:rsidP="00214A31">
      <w:pPr>
        <w:pStyle w:val="ListParagraph"/>
        <w:numPr>
          <w:ilvl w:val="0"/>
          <w:numId w:val="17"/>
        </w:numPr>
        <w:rPr>
          <w:bCs/>
        </w:rPr>
      </w:pPr>
      <w:r w:rsidRPr="00872729">
        <w:rPr>
          <w:bCs/>
        </w:rPr>
        <w:t>Damage to fisheries, tourism and recreation</w:t>
      </w:r>
    </w:p>
    <w:p w:rsidR="00DB06C0" w:rsidRPr="00872729" w:rsidRDefault="00214A31" w:rsidP="00DB06C0">
      <w:pPr>
        <w:pStyle w:val="ListParagraph"/>
        <w:numPr>
          <w:ilvl w:val="0"/>
          <w:numId w:val="17"/>
        </w:numPr>
        <w:rPr>
          <w:bCs/>
        </w:rPr>
      </w:pPr>
      <w:r w:rsidRPr="00872729">
        <w:rPr>
          <w:bCs/>
        </w:rPr>
        <w:t>Damage to shell fisheries</w:t>
      </w:r>
      <w:r w:rsidR="003056DD" w:rsidRPr="00872729">
        <w:rPr>
          <w:bCs/>
        </w:rPr>
        <w:t>’</w:t>
      </w:r>
    </w:p>
    <w:p w:rsidR="009A7824" w:rsidRDefault="00872729" w:rsidP="00B60F39">
      <w:r>
        <w:t>Please provide your views on updating the nutrient and chemical environmental quality standards for the Isle of Man.</w:t>
      </w:r>
    </w:p>
    <w:p w:rsidR="009A7824" w:rsidRPr="009A7824" w:rsidRDefault="00BE17CF" w:rsidP="009A7824">
      <w:r w:rsidRPr="00872729">
        <w:rPr>
          <w:bCs/>
          <w:noProof/>
          <w:lang w:eastAsia="en-GB"/>
        </w:rPr>
        <mc:AlternateContent>
          <mc:Choice Requires="wps">
            <w:drawing>
              <wp:anchor distT="0" distB="0" distL="114300" distR="114300" simplePos="0" relativeHeight="251666432" behindDoc="0" locked="0" layoutInCell="1" allowOverlap="1" wp14:anchorId="33836873" wp14:editId="7E18E572">
                <wp:simplePos x="0" y="0"/>
                <wp:positionH relativeFrom="margin">
                  <wp:posOffset>-361950</wp:posOffset>
                </wp:positionH>
                <wp:positionV relativeFrom="paragraph">
                  <wp:posOffset>13970</wp:posOffset>
                </wp:positionV>
                <wp:extent cx="6429375" cy="34480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429375" cy="3448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A0670" id="Rounded Rectangle 3" o:spid="_x0000_s1026" style="position:absolute;margin-left:-28.5pt;margin-top:1.1pt;width:506.25pt;height:27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" filled="f" strokecolor="black [3213]" strokeweight="2pt">
                <w10:wrap anchorx="margin"/>
              </v:roundrect>
            </w:pict>
          </mc:Fallback>
        </mc:AlternateContent>
      </w:r>
    </w:p>
    <w:p w:rsidR="009A7824" w:rsidRPr="009A7824" w:rsidRDefault="009A7824" w:rsidP="009A7824"/>
    <w:p w:rsidR="009A7824" w:rsidRPr="009A7824" w:rsidRDefault="009A7824" w:rsidP="009A7824"/>
    <w:p w:rsidR="009A7824" w:rsidRPr="009A7824" w:rsidRDefault="009A7824" w:rsidP="009A7824"/>
    <w:p w:rsidR="009A7824" w:rsidRPr="009A7824" w:rsidRDefault="009A7824" w:rsidP="009A7824"/>
    <w:p w:rsidR="009A7824" w:rsidRPr="009A7824" w:rsidRDefault="009A7824" w:rsidP="009A7824"/>
    <w:p w:rsidR="009A7824" w:rsidRPr="009A7824" w:rsidRDefault="009A7824" w:rsidP="009A7824"/>
    <w:p w:rsidR="009A7824" w:rsidRPr="009A7824" w:rsidRDefault="009A7824" w:rsidP="009A7824"/>
    <w:p w:rsidR="009A7824" w:rsidRPr="009A7824" w:rsidRDefault="009A7824" w:rsidP="009A7824"/>
    <w:p w:rsidR="009A7824" w:rsidRDefault="009A7824" w:rsidP="009A7824"/>
    <w:p w:rsidR="00BE17CF" w:rsidRDefault="00BE17CF" w:rsidP="00872729">
      <w:pPr>
        <w:rPr>
          <w:b/>
        </w:rPr>
      </w:pPr>
    </w:p>
    <w:p w:rsidR="00B60F39" w:rsidRPr="00B60F39" w:rsidRDefault="009A7824" w:rsidP="00872729">
      <w:pPr>
        <w:rPr>
          <w:b/>
        </w:rPr>
      </w:pPr>
      <w:r>
        <w:rPr>
          <w:b/>
        </w:rPr>
        <w:t>Q</w:t>
      </w:r>
      <w:r w:rsidR="00B60F39">
        <w:rPr>
          <w:b/>
        </w:rPr>
        <w:t>uestion 8</w:t>
      </w:r>
    </w:p>
    <w:p w:rsidR="00872729" w:rsidRPr="00872729" w:rsidRDefault="00214A31" w:rsidP="00872729">
      <w:r w:rsidRPr="00872729">
        <w:t>Across the Isle of Man there are multiple abandoned mine sites which continue to pollute our watercourses. Pollution from coal mines is easy to see, because of the iron rich water they discharge can cause rivers to turn orange. Not all po</w:t>
      </w:r>
      <w:r w:rsidR="00D631EF" w:rsidRPr="00872729">
        <w:t>llution is obvious from abandoned mines</w:t>
      </w:r>
      <w:r w:rsidRPr="00872729">
        <w:t xml:space="preserve">, it may not be visible, and we can only tell if metals are present in rivers by </w:t>
      </w:r>
      <w:r w:rsidR="00C453F8" w:rsidRPr="00872729">
        <w:t>assessing</w:t>
      </w:r>
      <w:r w:rsidRPr="00872729">
        <w:t xml:space="preserve"> the water quality. </w:t>
      </w:r>
    </w:p>
    <w:p w:rsidR="00214A31" w:rsidRPr="00872729" w:rsidRDefault="003056DD" w:rsidP="00872729">
      <w:r w:rsidRPr="00872729">
        <w:t xml:space="preserve">Therefore APEM recommended to introduce heavy metal environmental quality standards and to update the monitoring programme to include heavy metals for specific sites depending on background monitoring and the presence of a specific metal. </w:t>
      </w:r>
    </w:p>
    <w:p w:rsidR="00872729" w:rsidRPr="00872729" w:rsidRDefault="00214A31" w:rsidP="00872729">
      <w:r w:rsidRPr="00872729">
        <w:t>Pollution from abandoned mines comes from;</w:t>
      </w:r>
    </w:p>
    <w:p w:rsidR="00872729" w:rsidRPr="00872729" w:rsidRDefault="00214A31" w:rsidP="00872729">
      <w:pPr>
        <w:pStyle w:val="ListParagraph"/>
        <w:numPr>
          <w:ilvl w:val="0"/>
          <w:numId w:val="23"/>
        </w:numPr>
      </w:pPr>
      <w:r w:rsidRPr="00872729">
        <w:t xml:space="preserve">‘Point sources’ where drainage tunnels or mine entries discharge metal rich mine waters all year round. </w:t>
      </w:r>
    </w:p>
    <w:p w:rsidR="00872729" w:rsidRPr="00872729" w:rsidRDefault="00214A31" w:rsidP="00872729">
      <w:pPr>
        <w:pStyle w:val="ListParagraph"/>
        <w:numPr>
          <w:ilvl w:val="0"/>
          <w:numId w:val="23"/>
        </w:numPr>
      </w:pPr>
      <w:r w:rsidRPr="00872729">
        <w:t xml:space="preserve">‘Diffuse sources’ such as mine wastes, metal-contaminated sediments and groundwater contribute to increasing amounts of metals as river flows increase due to adverse weather. </w:t>
      </w:r>
    </w:p>
    <w:p w:rsidR="003056DD" w:rsidRDefault="00214A31" w:rsidP="00872729">
      <w:pPr>
        <w:pStyle w:val="ListParagraph"/>
        <w:numPr>
          <w:ilvl w:val="0"/>
          <w:numId w:val="23"/>
        </w:numPr>
      </w:pPr>
      <w:r w:rsidRPr="00872729">
        <w:t>Impac</w:t>
      </w:r>
      <w:r w:rsidR="003056DD" w:rsidRPr="00872729">
        <w:t>ts on groundwater and aquifers.</w:t>
      </w:r>
    </w:p>
    <w:p w:rsidR="00BE17CF" w:rsidRDefault="00872729" w:rsidP="00B60F39">
      <w:r w:rsidRPr="00872729">
        <w:lastRenderedPageBreak/>
        <w:t>Please provide your views on introducing heavy metal environmental quality standards to reduce the input into watercourses.</w:t>
      </w:r>
      <w:r w:rsidR="003035F8">
        <w:t xml:space="preserve"> More information can be found in </w:t>
      </w:r>
      <w:r w:rsidR="009A7824">
        <w:t xml:space="preserve">Section 4.5 of </w:t>
      </w:r>
      <w:r w:rsidR="003035F8">
        <w:t xml:space="preserve">the APEM report; </w:t>
      </w:r>
      <w:hyperlink r:id="rId21" w:history="1">
        <w:r w:rsidR="003035F8" w:rsidRPr="00356CAB">
          <w:rPr>
            <w:rStyle w:val="Hyperlink"/>
          </w:rPr>
          <w:t>https://www.gov.im/media/1369698/proposed-eqs-apem-report.pdf</w:t>
        </w:r>
      </w:hyperlink>
      <w:r w:rsidR="003035F8">
        <w:t xml:space="preserve"> </w:t>
      </w:r>
    </w:p>
    <w:p w:rsidR="00BE17CF" w:rsidRPr="00BE17CF" w:rsidRDefault="00BE17CF" w:rsidP="00BE17CF">
      <w:r w:rsidRPr="00872729">
        <w:rPr>
          <w:noProof/>
          <w:lang w:eastAsia="en-GB"/>
        </w:rPr>
        <mc:AlternateContent>
          <mc:Choice Requires="wps">
            <w:drawing>
              <wp:anchor distT="0" distB="0" distL="114300" distR="114300" simplePos="0" relativeHeight="251665408" behindDoc="0" locked="0" layoutInCell="1" allowOverlap="1" wp14:anchorId="024C923D" wp14:editId="5E50BB1B">
                <wp:simplePos x="0" y="0"/>
                <wp:positionH relativeFrom="margin">
                  <wp:posOffset>-314325</wp:posOffset>
                </wp:positionH>
                <wp:positionV relativeFrom="paragraph">
                  <wp:posOffset>7620</wp:posOffset>
                </wp:positionV>
                <wp:extent cx="6334125" cy="3771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334125" cy="3771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BE21D8" id="Rounded Rectangle 2" o:spid="_x0000_s1026" style="position:absolute;margin-left:-24.75pt;margin-top:.6pt;width:498.75pt;height:29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" filled="f" strokecolor="black [3213]" strokeweight="2pt">
                <w10:wrap anchorx="margin"/>
              </v:roundrect>
            </w:pict>
          </mc:Fallback>
        </mc:AlternateContent>
      </w:r>
    </w:p>
    <w:p w:rsidR="00BE17CF" w:rsidRPr="00BE17CF" w:rsidRDefault="00BE17CF" w:rsidP="00BE17CF"/>
    <w:p w:rsidR="00BE17CF" w:rsidRPr="00BE17CF" w:rsidRDefault="00BE17CF" w:rsidP="00BE17CF"/>
    <w:p w:rsidR="00BE17CF" w:rsidRPr="00BE17CF" w:rsidRDefault="00BE17CF" w:rsidP="00BE17CF"/>
    <w:p w:rsidR="00BE17CF" w:rsidRPr="00BE17CF" w:rsidRDefault="00BE17CF" w:rsidP="00BE17CF"/>
    <w:p w:rsidR="00BE17CF" w:rsidRPr="00BE17CF" w:rsidRDefault="00BE17CF" w:rsidP="00BE17CF"/>
    <w:p w:rsidR="00BE17CF" w:rsidRPr="00BE17CF" w:rsidRDefault="00BE17CF" w:rsidP="00BE17CF"/>
    <w:p w:rsidR="00BE17CF" w:rsidRPr="00BE17CF" w:rsidRDefault="00BE17CF" w:rsidP="00BE17CF"/>
    <w:p w:rsidR="00BE17CF" w:rsidRPr="00BE17CF" w:rsidRDefault="00BE17CF" w:rsidP="00BE17CF"/>
    <w:p w:rsidR="00BE17CF" w:rsidRPr="00BE17CF" w:rsidRDefault="00BE17CF" w:rsidP="00BE17CF"/>
    <w:p w:rsidR="00BE17CF" w:rsidRPr="00BE17CF" w:rsidRDefault="00BE17CF" w:rsidP="00BE17CF"/>
    <w:p w:rsidR="00BE17CF" w:rsidRDefault="00BE17CF" w:rsidP="00B60F39">
      <w:pPr>
        <w:rPr>
          <w:b/>
        </w:rPr>
      </w:pPr>
    </w:p>
    <w:p w:rsidR="00B60F39" w:rsidRPr="00B60F39" w:rsidRDefault="00B60F39" w:rsidP="00B60F39">
      <w:pPr>
        <w:rPr>
          <w:b/>
        </w:rPr>
      </w:pPr>
      <w:r>
        <w:rPr>
          <w:b/>
        </w:rPr>
        <w:t>Question 9</w:t>
      </w:r>
    </w:p>
    <w:p w:rsidR="004B5D93" w:rsidRPr="00B60F39" w:rsidRDefault="004B5D93" w:rsidP="00B60F39">
      <w:pPr>
        <w:rPr>
          <w:b/>
        </w:rPr>
      </w:pPr>
      <w:r>
        <w:t>Please provide any additional comments</w:t>
      </w:r>
      <w:r w:rsidR="003035F8">
        <w:t xml:space="preserve">; more information and </w:t>
      </w:r>
      <w:r w:rsidR="00BE17CF">
        <w:t xml:space="preserve">a summary of the </w:t>
      </w:r>
      <w:r w:rsidR="003035F8">
        <w:t>recommendations are outlined</w:t>
      </w:r>
      <w:r w:rsidR="00BE17CF">
        <w:t xml:space="preserve"> in Section 10 of the APEM report, </w:t>
      </w:r>
      <w:hyperlink r:id="rId22" w:history="1">
        <w:r w:rsidR="003035F8" w:rsidRPr="00356CAB">
          <w:rPr>
            <w:rStyle w:val="Hyperlink"/>
          </w:rPr>
          <w:t>https://www.gov.im/media/1369698/proposed-eqs-apem-report.pdf</w:t>
        </w:r>
      </w:hyperlink>
    </w:p>
    <w:p w:rsidR="004B5D93" w:rsidRPr="004B5D93" w:rsidRDefault="00BE17CF" w:rsidP="004B5D93">
      <w:pPr>
        <w:rPr>
          <w:b/>
        </w:rPr>
      </w:pPr>
      <w:r>
        <w:rPr>
          <w:noProof/>
          <w:color w:val="1F497D" w:themeColor="text2"/>
          <w:lang w:eastAsia="en-GB"/>
        </w:rPr>
        <mc:AlternateContent>
          <mc:Choice Requires="wps">
            <w:drawing>
              <wp:anchor distT="0" distB="0" distL="114300" distR="114300" simplePos="0" relativeHeight="251674624" behindDoc="0" locked="0" layoutInCell="1" allowOverlap="1" wp14:anchorId="3828BA0C" wp14:editId="1AF64068">
                <wp:simplePos x="0" y="0"/>
                <wp:positionH relativeFrom="margin">
                  <wp:posOffset>-314325</wp:posOffset>
                </wp:positionH>
                <wp:positionV relativeFrom="paragraph">
                  <wp:posOffset>13971</wp:posOffset>
                </wp:positionV>
                <wp:extent cx="6334125" cy="28956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334125" cy="2895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EF5658" id="Rounded Rectangle 11" o:spid="_x0000_s1026" style="position:absolute;margin-left:-24.75pt;margin-top:1.1pt;width:498.75pt;height:228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" filled="f" strokecolor="black [3213]" strokeweight="2pt">
                <w10:wrap anchorx="margin"/>
              </v:roundrect>
            </w:pict>
          </mc:Fallback>
        </mc:AlternateContent>
      </w:r>
      <w:r w:rsidR="004B5D93">
        <w:t xml:space="preserve"> </w:t>
      </w:r>
    </w:p>
    <w:p w:rsidR="004B5D93" w:rsidRDefault="004B5D93" w:rsidP="004B5D93">
      <w:pPr>
        <w:rPr>
          <w:b/>
        </w:rPr>
        <w:sectPr w:rsidR="004B5D93">
          <w:pgSz w:w="11906" w:h="16838"/>
          <w:pgMar w:top="1440" w:right="1440" w:bottom="1440" w:left="1440" w:header="708" w:footer="708" w:gutter="0"/>
          <w:cols w:space="708"/>
          <w:docGrid w:linePitch="360"/>
        </w:sectPr>
      </w:pPr>
    </w:p>
    <w:p w:rsidR="00BE17CF" w:rsidRDefault="00BE17CF" w:rsidP="00BE17CF">
      <w:pPr>
        <w:pStyle w:val="ListParagraph"/>
        <w:ind w:left="360"/>
        <w:rPr>
          <w:b/>
        </w:rPr>
        <w:sectPr w:rsidR="00BE17CF">
          <w:pgSz w:w="11906" w:h="16838"/>
          <w:pgMar w:top="1440" w:right="1440" w:bottom="1440" w:left="1440" w:header="708" w:footer="708" w:gutter="0"/>
          <w:cols w:space="708"/>
          <w:docGrid w:linePitch="360"/>
        </w:sectPr>
      </w:pPr>
      <w:r>
        <w:rPr>
          <w:noProof/>
          <w:color w:val="1F497D" w:themeColor="text2"/>
          <w:lang w:eastAsia="en-GB"/>
        </w:rPr>
        <w:lastRenderedPageBreak/>
        <mc:AlternateContent>
          <mc:Choice Requires="wps">
            <w:drawing>
              <wp:anchor distT="0" distB="0" distL="114300" distR="114300" simplePos="0" relativeHeight="251676672" behindDoc="0" locked="0" layoutInCell="1" allowOverlap="1" wp14:anchorId="798C84E1" wp14:editId="3215FD68">
                <wp:simplePos x="0" y="0"/>
                <wp:positionH relativeFrom="margin">
                  <wp:posOffset>-314325</wp:posOffset>
                </wp:positionH>
                <wp:positionV relativeFrom="paragraph">
                  <wp:posOffset>-142875</wp:posOffset>
                </wp:positionV>
                <wp:extent cx="6334125" cy="89630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6334125" cy="896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824FA" id="Rounded Rectangle 12" o:spid="_x0000_s1026" style="position:absolute;margin-left:-24.75pt;margin-top:-11.25pt;width:498.75pt;height:705.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" filled="f" strokecolor="black [3213]" strokeweight="2pt">
                <w10:wrap anchorx="margin"/>
              </v:roundrect>
            </w:pict>
          </mc:Fallback>
        </mc:AlternateContent>
      </w:r>
    </w:p>
    <w:p w:rsidR="008D5B15" w:rsidRDefault="00535D06" w:rsidP="00535D06">
      <w:pPr>
        <w:pStyle w:val="ListParagraph"/>
        <w:numPr>
          <w:ilvl w:val="0"/>
          <w:numId w:val="3"/>
        </w:numPr>
        <w:rPr>
          <w:b/>
        </w:rPr>
      </w:pPr>
      <w:r>
        <w:rPr>
          <w:b/>
        </w:rPr>
        <w:lastRenderedPageBreak/>
        <w:t>Feedback to the consultation</w:t>
      </w:r>
    </w:p>
    <w:p w:rsidR="00535D06" w:rsidRDefault="00535D06" w:rsidP="00535D06">
      <w:pPr>
        <w:pStyle w:val="ListParagraph"/>
        <w:numPr>
          <w:ilvl w:val="1"/>
          <w:numId w:val="3"/>
        </w:numPr>
        <w:rPr>
          <w:b/>
        </w:rPr>
      </w:pPr>
      <w:r>
        <w:rPr>
          <w:b/>
        </w:rPr>
        <w:t>Responses</w:t>
      </w:r>
    </w:p>
    <w:p w:rsidR="00535D06" w:rsidRDefault="00535D06" w:rsidP="00535D06">
      <w:pPr>
        <w:ind w:left="360"/>
        <w:rPr>
          <w:b/>
        </w:rPr>
      </w:pPr>
      <w:r>
        <w:rPr>
          <w:b/>
        </w:rPr>
        <w:t xml:space="preserve">Responses should be sent in writing and preferably by email to:- </w:t>
      </w:r>
    </w:p>
    <w:p w:rsidR="00535D06" w:rsidRPr="00780E88" w:rsidRDefault="000C5EAB" w:rsidP="00535D06">
      <w:pPr>
        <w:spacing w:after="0"/>
        <w:ind w:left="360"/>
        <w:rPr>
          <w:b/>
          <w:bCs/>
        </w:rPr>
      </w:pPr>
      <w:r w:rsidRPr="00780E88">
        <w:rPr>
          <w:b/>
          <w:bCs/>
        </w:rPr>
        <w:t xml:space="preserve">Environmental Quality Standards </w:t>
      </w:r>
      <w:r w:rsidR="00535D06" w:rsidRPr="00780E88">
        <w:rPr>
          <w:b/>
          <w:bCs/>
        </w:rPr>
        <w:t>Consultation</w:t>
      </w:r>
    </w:p>
    <w:p w:rsidR="00535D06" w:rsidRPr="00780E88" w:rsidRDefault="00535D06" w:rsidP="00535D06">
      <w:pPr>
        <w:spacing w:after="0"/>
        <w:ind w:left="360"/>
      </w:pPr>
      <w:r w:rsidRPr="00780E88">
        <w:t>Environmental Protection Unit</w:t>
      </w:r>
    </w:p>
    <w:p w:rsidR="00535D06" w:rsidRDefault="00535D06" w:rsidP="00535D06">
      <w:pPr>
        <w:spacing w:after="0"/>
        <w:ind w:left="360"/>
      </w:pPr>
      <w:r>
        <w:t>Environment Directorate</w:t>
      </w:r>
    </w:p>
    <w:p w:rsidR="00535D06" w:rsidRDefault="00535D06" w:rsidP="00535D06">
      <w:pPr>
        <w:spacing w:after="0"/>
        <w:ind w:left="360"/>
      </w:pPr>
      <w:r>
        <w:t>Department of Environment, Food and Agriculture</w:t>
      </w:r>
    </w:p>
    <w:p w:rsidR="00535D06" w:rsidRDefault="00535D06" w:rsidP="00535D06">
      <w:pPr>
        <w:spacing w:after="0"/>
        <w:ind w:left="360"/>
      </w:pPr>
      <w:r>
        <w:t>Foxdale Road</w:t>
      </w:r>
    </w:p>
    <w:p w:rsidR="00535D06" w:rsidRDefault="00535D06" w:rsidP="00535D06">
      <w:pPr>
        <w:spacing w:after="0"/>
        <w:ind w:left="360"/>
      </w:pPr>
      <w:r>
        <w:t>St Johns</w:t>
      </w:r>
    </w:p>
    <w:p w:rsidR="00535D06" w:rsidRDefault="00535D06" w:rsidP="00535D06">
      <w:pPr>
        <w:spacing w:after="0"/>
        <w:ind w:left="360"/>
      </w:pPr>
      <w:r>
        <w:t>Isle of Man</w:t>
      </w:r>
    </w:p>
    <w:p w:rsidR="00535D06" w:rsidRDefault="00535D06" w:rsidP="00535D06">
      <w:pPr>
        <w:spacing w:after="0"/>
        <w:ind w:left="360"/>
      </w:pPr>
      <w:r>
        <w:t>IM4 3AS</w:t>
      </w:r>
    </w:p>
    <w:p w:rsidR="00535D06" w:rsidRDefault="00535D06" w:rsidP="00780E88">
      <w:pPr>
        <w:spacing w:after="0"/>
      </w:pPr>
    </w:p>
    <w:p w:rsidR="00535D06" w:rsidRDefault="00535D06" w:rsidP="00535D06">
      <w:pPr>
        <w:spacing w:after="0"/>
        <w:ind w:left="360"/>
      </w:pPr>
      <w:r>
        <w:t xml:space="preserve">Should you require a paper copy of the consultation document please contact the Environmental Protection Unit at </w:t>
      </w:r>
      <w:hyperlink r:id="rId23" w:history="1">
        <w:r w:rsidR="000C5EAB" w:rsidRPr="00957973">
          <w:rPr>
            <w:rStyle w:val="Hyperlink"/>
          </w:rPr>
          <w:t>environmentalprotection@gov.im</w:t>
        </w:r>
      </w:hyperlink>
      <w:r w:rsidR="000C5EAB">
        <w:t xml:space="preserve"> or on 01624 685885. </w:t>
      </w:r>
      <w:r>
        <w:t xml:space="preserve"> </w:t>
      </w:r>
    </w:p>
    <w:p w:rsidR="00535D06" w:rsidRDefault="00535D06" w:rsidP="00535D06">
      <w:pPr>
        <w:spacing w:after="0"/>
        <w:ind w:left="360"/>
      </w:pPr>
    </w:p>
    <w:p w:rsidR="00535D06" w:rsidRDefault="00535D06" w:rsidP="00535D06">
      <w:pPr>
        <w:spacing w:after="0"/>
        <w:ind w:left="360"/>
      </w:pPr>
      <w:r>
        <w:t xml:space="preserve">Copies of this document may be downloaded from the Isle of Man Government website at </w:t>
      </w:r>
      <w:hyperlink r:id="rId24" w:history="1">
        <w:r w:rsidRPr="00B57B1F">
          <w:rPr>
            <w:rStyle w:val="Hyperlink"/>
          </w:rPr>
          <w:t>https://consult.gov.im</w:t>
        </w:r>
      </w:hyperlink>
      <w:r>
        <w:t xml:space="preserve"> </w:t>
      </w:r>
    </w:p>
    <w:p w:rsidR="00535D06" w:rsidRDefault="00535D06" w:rsidP="00535D06">
      <w:pPr>
        <w:spacing w:after="0"/>
        <w:ind w:left="360"/>
      </w:pPr>
    </w:p>
    <w:p w:rsidR="00535D06" w:rsidRPr="00535D06" w:rsidRDefault="00535D06" w:rsidP="00535D06">
      <w:pPr>
        <w:pStyle w:val="Default"/>
        <w:spacing w:before="22"/>
        <w:ind w:left="360" w:right="172"/>
        <w:rPr>
          <w:color w:val="auto"/>
          <w:sz w:val="22"/>
          <w:szCs w:val="22"/>
        </w:rPr>
      </w:pPr>
      <w:r w:rsidRPr="00535D06">
        <w:rPr>
          <w:color w:val="auto"/>
          <w:sz w:val="22"/>
          <w:szCs w:val="22"/>
        </w:rPr>
        <w:t>It is important to note these proposals have been prepared for the purpo</w:t>
      </w:r>
      <w:r>
        <w:rPr>
          <w:color w:val="auto"/>
          <w:sz w:val="22"/>
          <w:szCs w:val="22"/>
        </w:rPr>
        <w:t xml:space="preserve">ses of </w:t>
      </w:r>
      <w:r w:rsidRPr="00535D06">
        <w:rPr>
          <w:color w:val="auto"/>
          <w:sz w:val="22"/>
          <w:szCs w:val="22"/>
        </w:rPr>
        <w:t xml:space="preserve">consultation and that further refinement may take place in the light of responses received. </w:t>
      </w:r>
    </w:p>
    <w:p w:rsidR="00535D06" w:rsidRDefault="00535D06" w:rsidP="00535D06">
      <w:pPr>
        <w:pStyle w:val="Default"/>
        <w:ind w:right="-20"/>
        <w:rPr>
          <w:color w:val="auto"/>
          <w:sz w:val="22"/>
          <w:szCs w:val="22"/>
        </w:rPr>
      </w:pPr>
    </w:p>
    <w:p w:rsidR="00535D06" w:rsidRDefault="00535D06" w:rsidP="00716E55">
      <w:pPr>
        <w:pStyle w:val="Default"/>
        <w:ind w:left="360" w:right="-20"/>
        <w:rPr>
          <w:color w:val="auto"/>
          <w:sz w:val="22"/>
          <w:szCs w:val="22"/>
        </w:rPr>
      </w:pPr>
      <w:r w:rsidRPr="00535D06">
        <w:rPr>
          <w:color w:val="auto"/>
          <w:sz w:val="22"/>
          <w:szCs w:val="22"/>
        </w:rPr>
        <w:t xml:space="preserve">The closing date for the receipt of comments is </w:t>
      </w:r>
      <w:r w:rsidRPr="006B4AA9">
        <w:rPr>
          <w:b/>
          <w:color w:val="auto"/>
          <w:sz w:val="22"/>
          <w:szCs w:val="22"/>
        </w:rPr>
        <w:t xml:space="preserve">17:00 </w:t>
      </w:r>
      <w:bookmarkStart w:id="0" w:name="_GoBack"/>
      <w:r w:rsidRPr="006B4AA9">
        <w:rPr>
          <w:b/>
          <w:color w:val="auto"/>
          <w:sz w:val="22"/>
          <w:szCs w:val="22"/>
        </w:rPr>
        <w:t xml:space="preserve">on </w:t>
      </w:r>
      <w:r w:rsidR="00716E55">
        <w:rPr>
          <w:b/>
          <w:color w:val="auto"/>
          <w:sz w:val="22"/>
          <w:szCs w:val="22"/>
        </w:rPr>
        <w:t>Wednesday 7</w:t>
      </w:r>
      <w:r w:rsidR="00716E55" w:rsidRPr="00716E55">
        <w:rPr>
          <w:b/>
          <w:color w:val="auto"/>
          <w:sz w:val="22"/>
          <w:szCs w:val="22"/>
          <w:vertAlign w:val="superscript"/>
        </w:rPr>
        <w:t>th</w:t>
      </w:r>
      <w:r w:rsidR="00D42F23">
        <w:rPr>
          <w:b/>
          <w:color w:val="auto"/>
          <w:sz w:val="22"/>
          <w:szCs w:val="22"/>
        </w:rPr>
        <w:t xml:space="preserve"> October 2020</w:t>
      </w:r>
      <w:r>
        <w:rPr>
          <w:color w:val="auto"/>
          <w:sz w:val="22"/>
          <w:szCs w:val="22"/>
        </w:rPr>
        <w:t xml:space="preserve">. </w:t>
      </w:r>
    </w:p>
    <w:bookmarkEnd w:id="0"/>
    <w:p w:rsidR="00535D06" w:rsidRPr="00535D06" w:rsidRDefault="00535D06" w:rsidP="00535D06">
      <w:pPr>
        <w:pStyle w:val="Default"/>
        <w:ind w:right="-20" w:firstLine="360"/>
        <w:rPr>
          <w:color w:val="auto"/>
          <w:sz w:val="22"/>
          <w:szCs w:val="22"/>
        </w:rPr>
      </w:pPr>
    </w:p>
    <w:p w:rsidR="00535D06" w:rsidRDefault="00535D06" w:rsidP="00535D06">
      <w:pPr>
        <w:pStyle w:val="Default"/>
        <w:spacing w:before="72"/>
        <w:ind w:left="360" w:right="262"/>
        <w:rPr>
          <w:color w:val="auto"/>
          <w:sz w:val="22"/>
          <w:szCs w:val="22"/>
        </w:rPr>
      </w:pPr>
      <w:r w:rsidRPr="00535D06">
        <w:rPr>
          <w:color w:val="auto"/>
          <w:sz w:val="22"/>
          <w:szCs w:val="22"/>
        </w:rPr>
        <w:t>Unless specifically requested otherwise (see below), responses received may be published either in part or in their entirety</w:t>
      </w:r>
      <w:r w:rsidR="0010477F">
        <w:rPr>
          <w:color w:val="auto"/>
          <w:sz w:val="22"/>
          <w:szCs w:val="22"/>
        </w:rPr>
        <w:t>.</w:t>
      </w:r>
      <w:r w:rsidRPr="00535D06">
        <w:rPr>
          <w:color w:val="auto"/>
          <w:sz w:val="22"/>
          <w:szCs w:val="22"/>
        </w:rPr>
        <w:t xml:space="preserve"> If you are responding on behalf of a group, it would be helpful to make your position clear. To ensure that the process is open and honest responses can only be accepted if you provide your full name with your response. </w:t>
      </w:r>
    </w:p>
    <w:p w:rsidR="00535D06" w:rsidRPr="00535D06" w:rsidRDefault="00535D06" w:rsidP="00535D06">
      <w:pPr>
        <w:pStyle w:val="Default"/>
        <w:spacing w:before="72"/>
        <w:ind w:left="360" w:right="262"/>
        <w:rPr>
          <w:color w:val="auto"/>
          <w:sz w:val="22"/>
          <w:szCs w:val="22"/>
        </w:rPr>
      </w:pPr>
    </w:p>
    <w:p w:rsidR="00535D06" w:rsidRPr="00535D06" w:rsidRDefault="00535D06" w:rsidP="00535D06">
      <w:pPr>
        <w:pStyle w:val="Default"/>
        <w:ind w:left="360" w:right="-20"/>
        <w:rPr>
          <w:color w:val="auto"/>
          <w:sz w:val="22"/>
          <w:szCs w:val="22"/>
        </w:rPr>
      </w:pPr>
      <w:r w:rsidRPr="00535D06">
        <w:rPr>
          <w:color w:val="auto"/>
          <w:sz w:val="22"/>
          <w:szCs w:val="22"/>
        </w:rPr>
        <w:t xml:space="preserve">It may be useful when giving your feedback to make reference to the specific proposal(s) set out in the document that you wish to comment on/discuss. </w:t>
      </w:r>
    </w:p>
    <w:p w:rsidR="00535D06" w:rsidRDefault="00535D06" w:rsidP="00535D06">
      <w:pPr>
        <w:pStyle w:val="Default"/>
        <w:ind w:right="167"/>
        <w:rPr>
          <w:color w:val="auto"/>
          <w:sz w:val="22"/>
          <w:szCs w:val="22"/>
        </w:rPr>
      </w:pPr>
    </w:p>
    <w:p w:rsidR="00535D06" w:rsidRDefault="00535D06" w:rsidP="00535D06">
      <w:pPr>
        <w:pStyle w:val="Default"/>
        <w:ind w:left="360" w:right="167"/>
        <w:rPr>
          <w:color w:val="auto"/>
          <w:sz w:val="22"/>
          <w:szCs w:val="22"/>
        </w:rPr>
      </w:pPr>
      <w:r w:rsidRPr="00535D06">
        <w:rPr>
          <w:color w:val="auto"/>
          <w:sz w:val="22"/>
          <w:szCs w:val="22"/>
        </w:rPr>
        <w:t xml:space="preserve">The purpose of consultation is not to be a referendum. It is an information, views and evidence gathering exercise from which to take an informed decision on the content of proposed legislation or policy. As with any consultation exercise, the responses received do not guarantee changes will be made to what has been proposed. </w:t>
      </w:r>
    </w:p>
    <w:p w:rsidR="00535D06" w:rsidRPr="00535D06" w:rsidRDefault="00535D06" w:rsidP="00535D06">
      <w:pPr>
        <w:pStyle w:val="Default"/>
        <w:ind w:left="360" w:right="167"/>
        <w:rPr>
          <w:color w:val="auto"/>
          <w:sz w:val="22"/>
          <w:szCs w:val="22"/>
        </w:rPr>
      </w:pPr>
    </w:p>
    <w:p w:rsidR="00535D06" w:rsidRDefault="00535D06" w:rsidP="00535D06">
      <w:pPr>
        <w:pStyle w:val="Default"/>
        <w:numPr>
          <w:ilvl w:val="1"/>
          <w:numId w:val="3"/>
        </w:numPr>
        <w:ind w:right="-20"/>
        <w:rPr>
          <w:b/>
          <w:color w:val="auto"/>
          <w:sz w:val="22"/>
          <w:szCs w:val="22"/>
        </w:rPr>
      </w:pPr>
      <w:r w:rsidRPr="00535D06">
        <w:rPr>
          <w:b/>
          <w:color w:val="auto"/>
          <w:sz w:val="22"/>
          <w:szCs w:val="22"/>
        </w:rPr>
        <w:t xml:space="preserve">Other information </w:t>
      </w:r>
    </w:p>
    <w:p w:rsidR="00535D06" w:rsidRPr="00535D06" w:rsidRDefault="00535D06" w:rsidP="00535D06">
      <w:pPr>
        <w:pStyle w:val="Default"/>
        <w:ind w:right="-20"/>
        <w:rPr>
          <w:b/>
          <w:color w:val="auto"/>
          <w:sz w:val="22"/>
          <w:szCs w:val="22"/>
        </w:rPr>
      </w:pPr>
    </w:p>
    <w:p w:rsidR="00535D06" w:rsidRPr="00535D06" w:rsidRDefault="00535D06" w:rsidP="00535D06">
      <w:pPr>
        <w:pStyle w:val="Default"/>
        <w:ind w:left="360" w:right="173"/>
        <w:rPr>
          <w:color w:val="auto"/>
          <w:sz w:val="22"/>
          <w:szCs w:val="22"/>
        </w:rPr>
      </w:pPr>
      <w:r w:rsidRPr="00535D06">
        <w:rPr>
          <w:color w:val="auto"/>
          <w:sz w:val="22"/>
          <w:szCs w:val="22"/>
        </w:rPr>
        <w:t xml:space="preserve">If you have any views or observations or there is some point of clarification you would like to receive in relation to the topics in this document or any other issue related to the subject of the consultation you are invited to submit these in writing to: </w:t>
      </w:r>
    </w:p>
    <w:p w:rsidR="00535D06" w:rsidRDefault="00535D06" w:rsidP="00535D06">
      <w:pPr>
        <w:pStyle w:val="Default"/>
        <w:ind w:right="-20" w:firstLine="360"/>
        <w:rPr>
          <w:color w:val="auto"/>
          <w:sz w:val="22"/>
          <w:szCs w:val="22"/>
        </w:rPr>
      </w:pPr>
    </w:p>
    <w:p w:rsidR="00CE3741" w:rsidRDefault="00CE3741" w:rsidP="00535D06">
      <w:pPr>
        <w:pStyle w:val="Default"/>
        <w:ind w:right="-20" w:firstLine="360"/>
        <w:rPr>
          <w:color w:val="auto"/>
          <w:sz w:val="22"/>
          <w:szCs w:val="22"/>
        </w:rPr>
      </w:pPr>
    </w:p>
    <w:p w:rsidR="00CE3741" w:rsidRDefault="00CE3741" w:rsidP="00535D06">
      <w:pPr>
        <w:pStyle w:val="Default"/>
        <w:ind w:right="-20" w:firstLine="360"/>
        <w:rPr>
          <w:color w:val="auto"/>
          <w:sz w:val="22"/>
          <w:szCs w:val="22"/>
        </w:rPr>
      </w:pPr>
    </w:p>
    <w:p w:rsidR="00CE3741" w:rsidRDefault="00CE3741" w:rsidP="00535D06">
      <w:pPr>
        <w:pStyle w:val="Default"/>
        <w:ind w:right="-20" w:firstLine="360"/>
        <w:rPr>
          <w:color w:val="auto"/>
          <w:sz w:val="22"/>
          <w:szCs w:val="22"/>
        </w:rPr>
      </w:pPr>
    </w:p>
    <w:p w:rsidR="00780E88" w:rsidRDefault="00780E88" w:rsidP="00535D06">
      <w:pPr>
        <w:pStyle w:val="Default"/>
        <w:spacing w:before="1"/>
        <w:ind w:right="-20" w:firstLine="360"/>
        <w:rPr>
          <w:b/>
          <w:color w:val="auto"/>
          <w:sz w:val="22"/>
          <w:szCs w:val="22"/>
        </w:rPr>
      </w:pPr>
      <w:r>
        <w:rPr>
          <w:b/>
          <w:color w:val="auto"/>
          <w:sz w:val="22"/>
          <w:szCs w:val="22"/>
        </w:rPr>
        <w:t>Environmental Protection Unit</w:t>
      </w:r>
    </w:p>
    <w:p w:rsidR="00535D06" w:rsidRPr="00535D06" w:rsidRDefault="00535D06" w:rsidP="00535D06">
      <w:pPr>
        <w:pStyle w:val="Default"/>
        <w:spacing w:before="1"/>
        <w:ind w:right="-20" w:firstLine="360"/>
        <w:rPr>
          <w:color w:val="auto"/>
          <w:sz w:val="22"/>
          <w:szCs w:val="22"/>
        </w:rPr>
      </w:pPr>
      <w:r w:rsidRPr="00535D06">
        <w:rPr>
          <w:color w:val="auto"/>
          <w:sz w:val="22"/>
          <w:szCs w:val="22"/>
        </w:rPr>
        <w:t xml:space="preserve">Department of Environment, Food &amp; Agriculture </w:t>
      </w:r>
    </w:p>
    <w:p w:rsidR="00535D06" w:rsidRPr="00535D06" w:rsidRDefault="00535D06" w:rsidP="00535D06">
      <w:pPr>
        <w:pStyle w:val="Default"/>
        <w:ind w:right="-20" w:firstLine="360"/>
        <w:rPr>
          <w:color w:val="auto"/>
          <w:sz w:val="22"/>
          <w:szCs w:val="22"/>
        </w:rPr>
      </w:pPr>
      <w:r w:rsidRPr="00535D06">
        <w:rPr>
          <w:color w:val="auto"/>
          <w:sz w:val="22"/>
          <w:szCs w:val="22"/>
        </w:rPr>
        <w:t xml:space="preserve">Thie Slieau Whallian </w:t>
      </w:r>
    </w:p>
    <w:p w:rsidR="00535D06" w:rsidRPr="00535D06" w:rsidRDefault="00535D06" w:rsidP="00535D06">
      <w:pPr>
        <w:pStyle w:val="Default"/>
        <w:spacing w:before="1"/>
        <w:ind w:right="-20" w:firstLine="360"/>
        <w:rPr>
          <w:color w:val="auto"/>
          <w:sz w:val="22"/>
          <w:szCs w:val="22"/>
        </w:rPr>
      </w:pPr>
      <w:r w:rsidRPr="00535D06">
        <w:rPr>
          <w:color w:val="auto"/>
          <w:sz w:val="22"/>
          <w:szCs w:val="22"/>
        </w:rPr>
        <w:t xml:space="preserve">Foxdale Road </w:t>
      </w:r>
    </w:p>
    <w:p w:rsidR="00535D06" w:rsidRPr="00535D06" w:rsidRDefault="00535D06" w:rsidP="00535D06">
      <w:pPr>
        <w:pStyle w:val="Default"/>
        <w:ind w:right="-20" w:firstLine="360"/>
        <w:rPr>
          <w:color w:val="auto"/>
          <w:sz w:val="22"/>
          <w:szCs w:val="22"/>
        </w:rPr>
      </w:pPr>
      <w:r w:rsidRPr="00535D06">
        <w:rPr>
          <w:color w:val="auto"/>
          <w:sz w:val="22"/>
          <w:szCs w:val="22"/>
        </w:rPr>
        <w:t xml:space="preserve">St John’s </w:t>
      </w:r>
    </w:p>
    <w:p w:rsidR="00535D06" w:rsidRDefault="00535D06" w:rsidP="00535D06">
      <w:pPr>
        <w:pStyle w:val="Default"/>
        <w:spacing w:before="1"/>
        <w:ind w:right="-20" w:firstLine="360"/>
        <w:rPr>
          <w:color w:val="auto"/>
          <w:sz w:val="22"/>
          <w:szCs w:val="22"/>
        </w:rPr>
      </w:pPr>
      <w:r w:rsidRPr="00535D06">
        <w:rPr>
          <w:color w:val="auto"/>
          <w:sz w:val="22"/>
          <w:szCs w:val="22"/>
        </w:rPr>
        <w:t xml:space="preserve">IM4 3AS </w:t>
      </w:r>
    </w:p>
    <w:p w:rsidR="00780E88" w:rsidRPr="00535D06" w:rsidRDefault="00780E88" w:rsidP="00535D06">
      <w:pPr>
        <w:pStyle w:val="Default"/>
        <w:spacing w:before="1"/>
        <w:ind w:right="-20" w:firstLine="360"/>
        <w:rPr>
          <w:color w:val="auto"/>
          <w:sz w:val="22"/>
          <w:szCs w:val="22"/>
        </w:rPr>
      </w:pPr>
    </w:p>
    <w:p w:rsidR="00535D06" w:rsidRPr="00535D06" w:rsidRDefault="00535D06" w:rsidP="00535D06">
      <w:pPr>
        <w:pStyle w:val="Default"/>
        <w:spacing w:before="1"/>
        <w:ind w:right="-20" w:firstLine="360"/>
        <w:rPr>
          <w:color w:val="auto"/>
          <w:sz w:val="22"/>
          <w:szCs w:val="22"/>
        </w:rPr>
      </w:pPr>
      <w:r w:rsidRPr="00535D06">
        <w:rPr>
          <w:color w:val="auto"/>
          <w:sz w:val="22"/>
          <w:szCs w:val="22"/>
        </w:rPr>
        <w:t xml:space="preserve">Email: </w:t>
      </w:r>
      <w:hyperlink r:id="rId25" w:history="1">
        <w:r w:rsidR="00780E88" w:rsidRPr="00835D05">
          <w:rPr>
            <w:rStyle w:val="Hyperlink"/>
            <w:sz w:val="22"/>
            <w:szCs w:val="22"/>
          </w:rPr>
          <w:t>environmentalprotection@gov.im</w:t>
        </w:r>
      </w:hyperlink>
      <w:r w:rsidRPr="00535D06">
        <w:rPr>
          <w:color w:val="auto"/>
          <w:sz w:val="22"/>
          <w:szCs w:val="22"/>
        </w:rPr>
        <w:t xml:space="preserve"> </w:t>
      </w:r>
    </w:p>
    <w:p w:rsidR="00535D06" w:rsidRPr="00535D06" w:rsidRDefault="00535D06" w:rsidP="00535D06">
      <w:pPr>
        <w:pStyle w:val="Default"/>
        <w:spacing w:before="1"/>
        <w:ind w:right="-20" w:firstLine="360"/>
        <w:rPr>
          <w:color w:val="auto"/>
          <w:sz w:val="22"/>
          <w:szCs w:val="22"/>
        </w:rPr>
      </w:pPr>
    </w:p>
    <w:p w:rsidR="00535D06" w:rsidRPr="00535D06" w:rsidRDefault="00535D06" w:rsidP="00535D06">
      <w:pPr>
        <w:pStyle w:val="Default"/>
        <w:numPr>
          <w:ilvl w:val="1"/>
          <w:numId w:val="3"/>
        </w:numPr>
        <w:spacing w:before="22"/>
        <w:ind w:right="-20"/>
        <w:rPr>
          <w:b/>
          <w:color w:val="auto"/>
          <w:sz w:val="22"/>
          <w:szCs w:val="22"/>
        </w:rPr>
      </w:pPr>
      <w:r w:rsidRPr="00535D06">
        <w:rPr>
          <w:b/>
          <w:color w:val="auto"/>
          <w:sz w:val="22"/>
          <w:szCs w:val="22"/>
        </w:rPr>
        <w:t xml:space="preserve">Confidentiality </w:t>
      </w:r>
    </w:p>
    <w:p w:rsidR="00535D06" w:rsidRDefault="00535D06" w:rsidP="00535D06">
      <w:pPr>
        <w:pStyle w:val="Default"/>
        <w:ind w:right="81"/>
        <w:rPr>
          <w:color w:val="auto"/>
          <w:sz w:val="22"/>
          <w:szCs w:val="22"/>
        </w:rPr>
      </w:pPr>
    </w:p>
    <w:p w:rsidR="00535D06" w:rsidRDefault="00535D06" w:rsidP="00535D06">
      <w:pPr>
        <w:pStyle w:val="Default"/>
        <w:ind w:left="360" w:right="81"/>
        <w:rPr>
          <w:color w:val="auto"/>
          <w:sz w:val="22"/>
          <w:szCs w:val="22"/>
        </w:rPr>
      </w:pPr>
      <w:r w:rsidRPr="00535D06">
        <w:rPr>
          <w:color w:val="auto"/>
          <w:sz w:val="22"/>
          <w:szCs w:val="22"/>
        </w:rPr>
        <w:t xml:space="preserve">In line with DEFA’s policy of openness, at the end of the consultation period copies of the responses we receive may be published in a summary of the responses to this consultation. </w:t>
      </w:r>
      <w:r w:rsidRPr="006B4AA9">
        <w:rPr>
          <w:b/>
          <w:color w:val="auto"/>
          <w:sz w:val="22"/>
          <w:szCs w:val="22"/>
        </w:rPr>
        <w:t>If you do not consent to this, you must clearly request that your response be treated as confidential.</w:t>
      </w:r>
      <w:r w:rsidRPr="00535D06">
        <w:rPr>
          <w:color w:val="auto"/>
          <w:sz w:val="22"/>
          <w:szCs w:val="22"/>
        </w:rPr>
        <w:t xml:space="preserve"> </w:t>
      </w:r>
      <w:r w:rsidR="006226CF">
        <w:rPr>
          <w:color w:val="auto"/>
          <w:sz w:val="22"/>
          <w:szCs w:val="22"/>
        </w:rPr>
        <w:t xml:space="preserve">The summary would not contain any personal information that would identify you. </w:t>
      </w:r>
      <w:r w:rsidRPr="00535D06">
        <w:rPr>
          <w:color w:val="auto"/>
          <w:sz w:val="22"/>
          <w:szCs w:val="22"/>
        </w:rPr>
        <w:t xml:space="preserve">Any confidentiality disclaimer generated by your IT system in email responses will not be treated as such a request. Respondents should also be aware that there may be circumstances in which DEFA will be required to communicate information to third parties on request, in order to comply with its obligations under the Freedom of Information Act 2015. </w:t>
      </w:r>
    </w:p>
    <w:p w:rsidR="00535D06" w:rsidRPr="00535D06" w:rsidRDefault="00535D06" w:rsidP="00535D06">
      <w:pPr>
        <w:pStyle w:val="Default"/>
        <w:ind w:left="360" w:right="81"/>
        <w:rPr>
          <w:color w:val="auto"/>
          <w:sz w:val="22"/>
          <w:szCs w:val="22"/>
        </w:rPr>
      </w:pPr>
    </w:p>
    <w:p w:rsidR="00535D06" w:rsidRPr="00535D06" w:rsidRDefault="00535D06" w:rsidP="00535D06">
      <w:pPr>
        <w:pStyle w:val="Default"/>
        <w:numPr>
          <w:ilvl w:val="1"/>
          <w:numId w:val="3"/>
        </w:numPr>
        <w:ind w:right="-20"/>
        <w:rPr>
          <w:b/>
          <w:color w:val="auto"/>
          <w:sz w:val="22"/>
          <w:szCs w:val="22"/>
        </w:rPr>
      </w:pPr>
      <w:r w:rsidRPr="00535D06">
        <w:rPr>
          <w:b/>
          <w:color w:val="auto"/>
          <w:sz w:val="22"/>
          <w:szCs w:val="22"/>
        </w:rPr>
        <w:t xml:space="preserve">Handling Results </w:t>
      </w:r>
    </w:p>
    <w:p w:rsidR="00535D06" w:rsidRDefault="00535D06" w:rsidP="00535D06">
      <w:pPr>
        <w:pStyle w:val="Default"/>
        <w:ind w:right="112"/>
        <w:rPr>
          <w:color w:val="auto"/>
          <w:sz w:val="22"/>
          <w:szCs w:val="22"/>
        </w:rPr>
      </w:pPr>
    </w:p>
    <w:p w:rsidR="00535D06" w:rsidRDefault="00535D06" w:rsidP="006B4AA9">
      <w:pPr>
        <w:pStyle w:val="Default"/>
        <w:ind w:left="360" w:right="112"/>
        <w:rPr>
          <w:color w:val="auto"/>
          <w:sz w:val="22"/>
          <w:szCs w:val="22"/>
        </w:rPr>
      </w:pPr>
      <w:r w:rsidRPr="00535D06">
        <w:rPr>
          <w:color w:val="auto"/>
          <w:sz w:val="22"/>
          <w:szCs w:val="22"/>
        </w:rPr>
        <w:t xml:space="preserve">A summary of responses will be posted on the Department’s website within 3 months of the close of the consultation period and will also be available from the Tynwald library and the Department’s head office. Information received will be dealt with in accordance with the access to information regimes. These are primarily the Public Engagement and Consultation Principles and the Code of Practice on Access to Information. </w:t>
      </w:r>
    </w:p>
    <w:p w:rsidR="006B4AA9" w:rsidRPr="00535D06" w:rsidRDefault="006B4AA9" w:rsidP="006B4AA9">
      <w:pPr>
        <w:pStyle w:val="Default"/>
        <w:ind w:left="360" w:right="112"/>
        <w:rPr>
          <w:color w:val="auto"/>
          <w:sz w:val="22"/>
          <w:szCs w:val="22"/>
        </w:rPr>
      </w:pPr>
    </w:p>
    <w:p w:rsidR="00535D06" w:rsidRDefault="00535D06" w:rsidP="00535D06">
      <w:pPr>
        <w:spacing w:after="0"/>
        <w:ind w:left="360"/>
      </w:pPr>
      <w:r>
        <w:t>This consultation follows the Isle of Man Government Public Engagement and Consultation Principles (October 2017). If you have any comments on how this consultation has been carried out, please contact Mr Richard Lole, Chief Executive of DEFA, at the Department’s head offices in St Johns.</w:t>
      </w:r>
    </w:p>
    <w:p w:rsidR="00535D06" w:rsidRDefault="00535D06" w:rsidP="00535D06">
      <w:pPr>
        <w:spacing w:after="0"/>
        <w:ind w:left="360"/>
      </w:pPr>
    </w:p>
    <w:p w:rsidR="00535D06" w:rsidRPr="00535D06" w:rsidRDefault="00535D06" w:rsidP="00535D06">
      <w:pPr>
        <w:spacing w:after="0"/>
        <w:ind w:left="360"/>
      </w:pPr>
    </w:p>
    <w:sectPr w:rsidR="00535D06" w:rsidRPr="00535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7A" w:rsidRDefault="0068767A" w:rsidP="00780E88">
      <w:pPr>
        <w:spacing w:after="0" w:line="240" w:lineRule="auto"/>
      </w:pPr>
      <w:r>
        <w:separator/>
      </w:r>
    </w:p>
  </w:endnote>
  <w:endnote w:type="continuationSeparator" w:id="0">
    <w:p w:rsidR="0068767A" w:rsidRDefault="0068767A" w:rsidP="0078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451574"/>
      <w:docPartObj>
        <w:docPartGallery w:val="Page Numbers (Bottom of Page)"/>
        <w:docPartUnique/>
      </w:docPartObj>
    </w:sdtPr>
    <w:sdtEndPr>
      <w:rPr>
        <w:color w:val="7F7F7F" w:themeColor="background1" w:themeShade="7F"/>
        <w:spacing w:val="60"/>
      </w:rPr>
    </w:sdtEndPr>
    <w:sdtContent>
      <w:p w:rsidR="00780E88" w:rsidRDefault="00780E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2CA0" w:rsidRPr="00E22CA0">
          <w:rPr>
            <w:b/>
            <w:bCs/>
            <w:noProof/>
          </w:rPr>
          <w:t>14</w:t>
        </w:r>
        <w:r>
          <w:rPr>
            <w:b/>
            <w:bCs/>
            <w:noProof/>
          </w:rPr>
          <w:fldChar w:fldCharType="end"/>
        </w:r>
        <w:r>
          <w:rPr>
            <w:b/>
            <w:bCs/>
          </w:rPr>
          <w:t xml:space="preserve"> | </w:t>
        </w:r>
        <w:r>
          <w:rPr>
            <w:color w:val="7F7F7F" w:themeColor="background1" w:themeShade="7F"/>
            <w:spacing w:val="60"/>
          </w:rPr>
          <w:t>Page</w:t>
        </w:r>
      </w:p>
    </w:sdtContent>
  </w:sdt>
  <w:p w:rsidR="00780E88" w:rsidRDefault="0078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7A" w:rsidRDefault="0068767A" w:rsidP="00780E88">
      <w:pPr>
        <w:spacing w:after="0" w:line="240" w:lineRule="auto"/>
      </w:pPr>
      <w:r>
        <w:separator/>
      </w:r>
    </w:p>
  </w:footnote>
  <w:footnote w:type="continuationSeparator" w:id="0">
    <w:p w:rsidR="0068767A" w:rsidRDefault="0068767A" w:rsidP="0078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88" w:rsidRDefault="0078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88" w:rsidRDefault="0078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88" w:rsidRDefault="0078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B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02A1A"/>
    <w:multiLevelType w:val="hybridMultilevel"/>
    <w:tmpl w:val="DDD6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34F0"/>
    <w:multiLevelType w:val="hybridMultilevel"/>
    <w:tmpl w:val="539C10CC"/>
    <w:lvl w:ilvl="0" w:tplc="32F8C76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F26BE"/>
    <w:multiLevelType w:val="hybridMultilevel"/>
    <w:tmpl w:val="116CD85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21A5B"/>
    <w:multiLevelType w:val="hybridMultilevel"/>
    <w:tmpl w:val="A782BB9E"/>
    <w:lvl w:ilvl="0" w:tplc="0809000F">
      <w:start w:val="1"/>
      <w:numFmt w:val="decimal"/>
      <w:lvlText w:val="%1."/>
      <w:lvlJc w:val="left"/>
      <w:pPr>
        <w:ind w:left="180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945D63"/>
    <w:multiLevelType w:val="hybridMultilevel"/>
    <w:tmpl w:val="F2009C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B3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F829CA"/>
    <w:multiLevelType w:val="hybridMultilevel"/>
    <w:tmpl w:val="BA224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946D8"/>
    <w:multiLevelType w:val="hybridMultilevel"/>
    <w:tmpl w:val="2A80B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12457"/>
    <w:multiLevelType w:val="hybridMultilevel"/>
    <w:tmpl w:val="99885D86"/>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2FC5495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6A80D3A"/>
    <w:multiLevelType w:val="hybridMultilevel"/>
    <w:tmpl w:val="16BCA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A004AF"/>
    <w:multiLevelType w:val="hybridMultilevel"/>
    <w:tmpl w:val="D616B50A"/>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C26A8"/>
    <w:multiLevelType w:val="hybridMultilevel"/>
    <w:tmpl w:val="496E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75FB7"/>
    <w:multiLevelType w:val="hybridMultilevel"/>
    <w:tmpl w:val="978C56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3B5B31"/>
    <w:multiLevelType w:val="hybridMultilevel"/>
    <w:tmpl w:val="C430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C0D00"/>
    <w:multiLevelType w:val="hybridMultilevel"/>
    <w:tmpl w:val="F5AEC7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7505ED"/>
    <w:multiLevelType w:val="hybridMultilevel"/>
    <w:tmpl w:val="E9D2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175318"/>
    <w:multiLevelType w:val="hybridMultilevel"/>
    <w:tmpl w:val="9272BC7E"/>
    <w:lvl w:ilvl="0" w:tplc="6ADE2294">
      <w:start w:val="1"/>
      <w:numFmt w:val="decimal"/>
      <w:lvlText w:val="%1."/>
      <w:lvlJc w:val="left"/>
      <w:pPr>
        <w:ind w:left="1353" w:hanging="360"/>
      </w:pPr>
      <w:rPr>
        <w:rFonts w:ascii="Tahoma" w:hAnsi="Tahoma"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22311"/>
    <w:multiLevelType w:val="hybridMultilevel"/>
    <w:tmpl w:val="E71CB7C0"/>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836401"/>
    <w:multiLevelType w:val="hybridMultilevel"/>
    <w:tmpl w:val="69AEA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01594"/>
    <w:multiLevelType w:val="hybridMultilevel"/>
    <w:tmpl w:val="28189864"/>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612D2"/>
    <w:multiLevelType w:val="hybridMultilevel"/>
    <w:tmpl w:val="900492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1"/>
  </w:num>
  <w:num w:numId="3">
    <w:abstractNumId w:val="0"/>
  </w:num>
  <w:num w:numId="4">
    <w:abstractNumId w:val="10"/>
  </w:num>
  <w:num w:numId="5">
    <w:abstractNumId w:val="6"/>
  </w:num>
  <w:num w:numId="6">
    <w:abstractNumId w:val="16"/>
  </w:num>
  <w:num w:numId="7">
    <w:abstractNumId w:val="13"/>
  </w:num>
  <w:num w:numId="8">
    <w:abstractNumId w:val="18"/>
  </w:num>
  <w:num w:numId="9">
    <w:abstractNumId w:val="4"/>
  </w:num>
  <w:num w:numId="10">
    <w:abstractNumId w:val="21"/>
  </w:num>
  <w:num w:numId="11">
    <w:abstractNumId w:val="19"/>
  </w:num>
  <w:num w:numId="12">
    <w:abstractNumId w:val="12"/>
  </w:num>
  <w:num w:numId="13">
    <w:abstractNumId w:val="3"/>
  </w:num>
  <w:num w:numId="14">
    <w:abstractNumId w:val="15"/>
  </w:num>
  <w:num w:numId="15">
    <w:abstractNumId w:val="9"/>
  </w:num>
  <w:num w:numId="16">
    <w:abstractNumId w:val="5"/>
  </w:num>
  <w:num w:numId="17">
    <w:abstractNumId w:val="8"/>
  </w:num>
  <w:num w:numId="18">
    <w:abstractNumId w:val="7"/>
  </w:num>
  <w:num w:numId="19">
    <w:abstractNumId w:val="2"/>
  </w:num>
  <w:num w:numId="20">
    <w:abstractNumId w:val="22"/>
  </w:num>
  <w:num w:numId="21">
    <w:abstractNumId w:val="14"/>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6"/>
    <w:rsid w:val="000113FC"/>
    <w:rsid w:val="000114F1"/>
    <w:rsid w:val="00053686"/>
    <w:rsid w:val="000B46F3"/>
    <w:rsid w:val="000C5EAB"/>
    <w:rsid w:val="0010477F"/>
    <w:rsid w:val="001110F7"/>
    <w:rsid w:val="00142675"/>
    <w:rsid w:val="00192AA5"/>
    <w:rsid w:val="00193AD4"/>
    <w:rsid w:val="001C1A64"/>
    <w:rsid w:val="00207C97"/>
    <w:rsid w:val="00214A31"/>
    <w:rsid w:val="00236D7C"/>
    <w:rsid w:val="002F5DA2"/>
    <w:rsid w:val="003035F8"/>
    <w:rsid w:val="003056DD"/>
    <w:rsid w:val="00306EB0"/>
    <w:rsid w:val="00313F76"/>
    <w:rsid w:val="003208B2"/>
    <w:rsid w:val="00324F1F"/>
    <w:rsid w:val="00354BFA"/>
    <w:rsid w:val="003B43A8"/>
    <w:rsid w:val="003D13AC"/>
    <w:rsid w:val="0040340E"/>
    <w:rsid w:val="00435490"/>
    <w:rsid w:val="00447281"/>
    <w:rsid w:val="004A12C0"/>
    <w:rsid w:val="004B5D93"/>
    <w:rsid w:val="00531E10"/>
    <w:rsid w:val="00535D06"/>
    <w:rsid w:val="005820C8"/>
    <w:rsid w:val="00597067"/>
    <w:rsid w:val="005F3A5A"/>
    <w:rsid w:val="006226CF"/>
    <w:rsid w:val="006430AF"/>
    <w:rsid w:val="00653E91"/>
    <w:rsid w:val="00666265"/>
    <w:rsid w:val="0068767A"/>
    <w:rsid w:val="006A610E"/>
    <w:rsid w:val="006B4AA9"/>
    <w:rsid w:val="006C5926"/>
    <w:rsid w:val="006F2460"/>
    <w:rsid w:val="00716E55"/>
    <w:rsid w:val="007233E2"/>
    <w:rsid w:val="00780E88"/>
    <w:rsid w:val="007839DF"/>
    <w:rsid w:val="007C3826"/>
    <w:rsid w:val="00872729"/>
    <w:rsid w:val="008D5B15"/>
    <w:rsid w:val="008E2776"/>
    <w:rsid w:val="00900F6B"/>
    <w:rsid w:val="00906E55"/>
    <w:rsid w:val="00917AFF"/>
    <w:rsid w:val="009237D5"/>
    <w:rsid w:val="009375B2"/>
    <w:rsid w:val="00963960"/>
    <w:rsid w:val="009A7824"/>
    <w:rsid w:val="009C7B1D"/>
    <w:rsid w:val="00A23652"/>
    <w:rsid w:val="00A8091E"/>
    <w:rsid w:val="00AB5516"/>
    <w:rsid w:val="00AD7768"/>
    <w:rsid w:val="00AF0C0F"/>
    <w:rsid w:val="00B03952"/>
    <w:rsid w:val="00B0523E"/>
    <w:rsid w:val="00B60F39"/>
    <w:rsid w:val="00B6521A"/>
    <w:rsid w:val="00B91529"/>
    <w:rsid w:val="00BD403D"/>
    <w:rsid w:val="00BE17CF"/>
    <w:rsid w:val="00BF6F61"/>
    <w:rsid w:val="00C24420"/>
    <w:rsid w:val="00C34973"/>
    <w:rsid w:val="00C453F8"/>
    <w:rsid w:val="00C4596B"/>
    <w:rsid w:val="00C636F1"/>
    <w:rsid w:val="00C93B59"/>
    <w:rsid w:val="00CA37A0"/>
    <w:rsid w:val="00CB3128"/>
    <w:rsid w:val="00CD4881"/>
    <w:rsid w:val="00CE19C9"/>
    <w:rsid w:val="00CE3741"/>
    <w:rsid w:val="00D3084F"/>
    <w:rsid w:val="00D42F23"/>
    <w:rsid w:val="00D631EF"/>
    <w:rsid w:val="00DB06C0"/>
    <w:rsid w:val="00E22CA0"/>
    <w:rsid w:val="00E85F83"/>
    <w:rsid w:val="00E9657D"/>
    <w:rsid w:val="00EF02D2"/>
    <w:rsid w:val="00EF568D"/>
    <w:rsid w:val="00F10B83"/>
    <w:rsid w:val="00F30453"/>
    <w:rsid w:val="00F62E79"/>
    <w:rsid w:val="00F842DA"/>
    <w:rsid w:val="00F96911"/>
    <w:rsid w:val="00FA7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1627E6-5CE7-43E9-A77F-DE9E9A79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06"/>
    <w:pPr>
      <w:ind w:left="720"/>
      <w:contextualSpacing/>
    </w:pPr>
  </w:style>
  <w:style w:type="character" w:styleId="Hyperlink">
    <w:name w:val="Hyperlink"/>
    <w:basedOn w:val="DefaultParagraphFont"/>
    <w:uiPriority w:val="99"/>
    <w:unhideWhenUsed/>
    <w:rsid w:val="00535D06"/>
    <w:rPr>
      <w:color w:val="0000FF" w:themeColor="hyperlink"/>
      <w:u w:val="single"/>
    </w:rPr>
  </w:style>
  <w:style w:type="paragraph" w:customStyle="1" w:styleId="Default">
    <w:name w:val="Default"/>
    <w:rsid w:val="00535D06"/>
    <w:pPr>
      <w:autoSpaceDE w:val="0"/>
      <w:autoSpaceDN w:val="0"/>
      <w:adjustRightInd w:val="0"/>
      <w:spacing w:after="0" w:line="240" w:lineRule="auto"/>
    </w:pPr>
    <w:rPr>
      <w:color w:val="000000"/>
      <w:sz w:val="24"/>
      <w:szCs w:val="24"/>
    </w:rPr>
  </w:style>
  <w:style w:type="paragraph" w:customStyle="1" w:styleId="APEM">
    <w:name w:val="APEM"/>
    <w:basedOn w:val="Normal"/>
    <w:link w:val="APEMChar"/>
    <w:qFormat/>
    <w:rsid w:val="006B4AA9"/>
    <w:pPr>
      <w:spacing w:before="100" w:beforeAutospacing="1" w:after="100" w:afterAutospacing="1" w:line="240" w:lineRule="auto"/>
      <w:jc w:val="center"/>
    </w:pPr>
    <w:rPr>
      <w:rFonts w:ascii="Arial" w:hAnsi="Arial" w:cstheme="minorBidi"/>
      <w:b/>
      <w:color w:val="0073AE"/>
      <w:sz w:val="28"/>
      <w:szCs w:val="28"/>
    </w:rPr>
  </w:style>
  <w:style w:type="character" w:customStyle="1" w:styleId="APEMChar">
    <w:name w:val="APEM Char"/>
    <w:basedOn w:val="DefaultParagraphFont"/>
    <w:link w:val="APEM"/>
    <w:rsid w:val="006B4AA9"/>
    <w:rPr>
      <w:rFonts w:ascii="Arial" w:hAnsi="Arial" w:cstheme="minorBidi"/>
      <w:b/>
      <w:color w:val="0073AE"/>
      <w:sz w:val="28"/>
      <w:szCs w:val="28"/>
    </w:rPr>
  </w:style>
  <w:style w:type="paragraph" w:styleId="BalloonText">
    <w:name w:val="Balloon Text"/>
    <w:basedOn w:val="Normal"/>
    <w:link w:val="BalloonTextChar"/>
    <w:uiPriority w:val="99"/>
    <w:semiHidden/>
    <w:unhideWhenUsed/>
    <w:rsid w:val="00D3084F"/>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3084F"/>
    <w:rPr>
      <w:sz w:val="16"/>
      <w:szCs w:val="16"/>
    </w:rPr>
  </w:style>
  <w:style w:type="paragraph" w:styleId="Header">
    <w:name w:val="header"/>
    <w:basedOn w:val="Normal"/>
    <w:link w:val="HeaderChar"/>
    <w:uiPriority w:val="99"/>
    <w:unhideWhenUsed/>
    <w:rsid w:val="00780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E88"/>
  </w:style>
  <w:style w:type="paragraph" w:styleId="Footer">
    <w:name w:val="footer"/>
    <w:basedOn w:val="Normal"/>
    <w:link w:val="FooterChar"/>
    <w:uiPriority w:val="99"/>
    <w:unhideWhenUsed/>
    <w:rsid w:val="00780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E88"/>
  </w:style>
  <w:style w:type="character" w:customStyle="1" w:styleId="UnresolvedMention">
    <w:name w:val="Unresolved Mention"/>
    <w:basedOn w:val="DefaultParagraphFont"/>
    <w:uiPriority w:val="99"/>
    <w:semiHidden/>
    <w:unhideWhenUsed/>
    <w:rsid w:val="00780E88"/>
    <w:rPr>
      <w:color w:val="605E5C"/>
      <w:shd w:val="clear" w:color="auto" w:fill="E1DFDD"/>
    </w:rPr>
  </w:style>
  <w:style w:type="table" w:styleId="TableGrid">
    <w:name w:val="Table Grid"/>
    <w:basedOn w:val="TableNormal"/>
    <w:uiPriority w:val="39"/>
    <w:rsid w:val="00CA37A0"/>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37A0"/>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F568D"/>
    <w:rPr>
      <w:sz w:val="16"/>
      <w:szCs w:val="16"/>
    </w:rPr>
  </w:style>
  <w:style w:type="paragraph" w:styleId="CommentText">
    <w:name w:val="annotation text"/>
    <w:basedOn w:val="Normal"/>
    <w:link w:val="CommentTextChar"/>
    <w:uiPriority w:val="99"/>
    <w:semiHidden/>
    <w:unhideWhenUsed/>
    <w:rsid w:val="00EF568D"/>
    <w:pPr>
      <w:spacing w:line="240" w:lineRule="auto"/>
    </w:pPr>
    <w:rPr>
      <w:sz w:val="20"/>
      <w:szCs w:val="20"/>
    </w:rPr>
  </w:style>
  <w:style w:type="character" w:customStyle="1" w:styleId="CommentTextChar">
    <w:name w:val="Comment Text Char"/>
    <w:basedOn w:val="DefaultParagraphFont"/>
    <w:link w:val="CommentText"/>
    <w:uiPriority w:val="99"/>
    <w:semiHidden/>
    <w:rsid w:val="00EF568D"/>
    <w:rPr>
      <w:sz w:val="20"/>
      <w:szCs w:val="20"/>
    </w:rPr>
  </w:style>
  <w:style w:type="paragraph" w:styleId="CommentSubject">
    <w:name w:val="annotation subject"/>
    <w:basedOn w:val="CommentText"/>
    <w:next w:val="CommentText"/>
    <w:link w:val="CommentSubjectChar"/>
    <w:uiPriority w:val="99"/>
    <w:semiHidden/>
    <w:unhideWhenUsed/>
    <w:rsid w:val="00EF568D"/>
    <w:rPr>
      <w:b/>
      <w:bCs/>
    </w:rPr>
  </w:style>
  <w:style w:type="character" w:customStyle="1" w:styleId="CommentSubjectChar">
    <w:name w:val="Comment Subject Char"/>
    <w:basedOn w:val="CommentTextChar"/>
    <w:link w:val="CommentSubject"/>
    <w:uiPriority w:val="99"/>
    <w:semiHidden/>
    <w:rsid w:val="00EF568D"/>
    <w:rPr>
      <w:b/>
      <w:bCs/>
      <w:sz w:val="20"/>
      <w:szCs w:val="20"/>
    </w:rPr>
  </w:style>
  <w:style w:type="character" w:styleId="FollowedHyperlink">
    <w:name w:val="FollowedHyperlink"/>
    <w:basedOn w:val="DefaultParagraphFont"/>
    <w:uiPriority w:val="99"/>
    <w:semiHidden/>
    <w:unhideWhenUsed/>
    <w:rsid w:val="00306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gov.im/media/1369698/proposed-eqs-apem-repor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im/media/1369698/proposed-eqs-apem-report.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im/media/1369698/proposed-eqs-apem-report.pdf" TargetMode="External"/><Relationship Id="rId25" Type="http://schemas.openxmlformats.org/officeDocument/2006/relationships/hyperlink" Target="mailto:environmentalprotection@gov.im" TargetMode="External"/><Relationship Id="rId2" Type="http://schemas.openxmlformats.org/officeDocument/2006/relationships/numbering" Target="numbering.xml"/><Relationship Id="rId16" Type="http://schemas.openxmlformats.org/officeDocument/2006/relationships/hyperlink" Target="https://www.gov.im/media/1369698/proposed-eqs-apem-report.pdf" TargetMode="External"/><Relationship Id="rId20" Type="http://schemas.openxmlformats.org/officeDocument/2006/relationships/hyperlink" Target="https://www.gov.im/media/1369698/proposed-eqs-apem-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onsult.gov.im" TargetMode="External"/><Relationship Id="rId5" Type="http://schemas.openxmlformats.org/officeDocument/2006/relationships/webSettings" Target="webSettings.xml"/><Relationship Id="rId15" Type="http://schemas.openxmlformats.org/officeDocument/2006/relationships/hyperlink" Target="https://www.gov.im/media/1369698/proposed-eqs-apem-report.pdf" TargetMode="External"/><Relationship Id="rId23" Type="http://schemas.openxmlformats.org/officeDocument/2006/relationships/hyperlink" Target="mailto:environmentalprotection@gov.im" TargetMode="External"/><Relationship Id="rId10" Type="http://schemas.openxmlformats.org/officeDocument/2006/relationships/hyperlink" Target="https://www.gov.im/media/1369698/proposed-eqs-apem-report.pdf" TargetMode="External"/><Relationship Id="rId19" Type="http://schemas.openxmlformats.org/officeDocument/2006/relationships/hyperlink" Target="https://www.gov.im/media/1369698/proposed-eqs-apem-repor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gov.im/media/1369698/proposed-eqs-apem-repor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3E4F-BD33-4577-AA30-7A588F63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Coombes, Danielle</dc:creator>
  <cp:lastModifiedBy>De Castro, Luiza</cp:lastModifiedBy>
  <cp:revision>2</cp:revision>
  <cp:lastPrinted>2020-03-09T16:14:00Z</cp:lastPrinted>
  <dcterms:created xsi:type="dcterms:W3CDTF">2020-07-13T14:57:00Z</dcterms:created>
  <dcterms:modified xsi:type="dcterms:W3CDTF">2020-07-13T14:57:00Z</dcterms:modified>
</cp:coreProperties>
</file>